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71" w:rsidRPr="00F80617" w:rsidRDefault="00592824" w:rsidP="00F806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617">
        <w:rPr>
          <w:rFonts w:ascii="Times New Roman" w:hAnsi="Times New Roman" w:cs="Times New Roman"/>
          <w:sz w:val="24"/>
          <w:szCs w:val="24"/>
        </w:rPr>
        <w:t>УТВЕРЖДЕНА</w:t>
      </w:r>
    </w:p>
    <w:p w:rsidR="007861FD" w:rsidRPr="00F80617" w:rsidRDefault="00592824" w:rsidP="00F806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617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D6171" w:rsidRPr="00F80617" w:rsidRDefault="007861FD" w:rsidP="00F806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6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92824" w:rsidRPr="00F80617">
        <w:rPr>
          <w:rFonts w:ascii="Times New Roman" w:hAnsi="Times New Roman" w:cs="Times New Roman"/>
          <w:sz w:val="24"/>
          <w:szCs w:val="24"/>
        </w:rPr>
        <w:t>поселения Верхнеказымский</w:t>
      </w:r>
    </w:p>
    <w:p w:rsidR="00592824" w:rsidRPr="00F80617" w:rsidRDefault="00592824" w:rsidP="00F806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617">
        <w:rPr>
          <w:rFonts w:ascii="Times New Roman" w:hAnsi="Times New Roman" w:cs="Times New Roman"/>
          <w:sz w:val="24"/>
          <w:szCs w:val="24"/>
        </w:rPr>
        <w:t>от __________ 2016 года № ___</w:t>
      </w: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46D" w:rsidRDefault="005D246D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6D" w:rsidRDefault="005D246D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6D" w:rsidRDefault="005D246D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>П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О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Г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А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3129A" w:rsidRPr="00D57E7A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  <w:r w:rsidR="005D246D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F31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ВЕРХНЕКАЗЫМСКИЙ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ДО 2020 </w:t>
      </w:r>
      <w:r w:rsidR="00D57E7A" w:rsidRPr="00D57E7A">
        <w:rPr>
          <w:rFonts w:ascii="Times New Roman" w:hAnsi="Times New Roman" w:cs="Times New Roman"/>
          <w:b/>
          <w:sz w:val="28"/>
          <w:szCs w:val="28"/>
        </w:rPr>
        <w:t>ГОДА И НА ПЕРИОД ДО 2030 ГОДА</w:t>
      </w:r>
    </w:p>
    <w:p w:rsidR="00AD6171" w:rsidRPr="00D57E7A" w:rsidRDefault="00AD617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1" w:rsidRPr="0008256A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C90E1F" w:rsidRPr="0080273D" w:rsidTr="00D57E7A">
        <w:tc>
          <w:tcPr>
            <w:tcW w:w="3823" w:type="dxa"/>
          </w:tcPr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90E1F" w:rsidRDefault="00C90E1F" w:rsidP="00F316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</w:t>
            </w:r>
            <w:r w:rsidR="005E5453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80273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</w:t>
            </w:r>
            <w:r w:rsidR="00F316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D0F4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3165A">
              <w:rPr>
                <w:rFonts w:ascii="Times New Roman" w:hAnsi="Times New Roman" w:cs="Times New Roman"/>
                <w:sz w:val="24"/>
                <w:szCs w:val="24"/>
              </w:rPr>
              <w:t xml:space="preserve">Верхнеказымский </w:t>
            </w:r>
            <w:r w:rsidRPr="0080273D">
              <w:rPr>
                <w:rFonts w:ascii="Times New Roman" w:hAnsi="Times New Roman" w:cs="Times New Roman"/>
                <w:sz w:val="24"/>
                <w:szCs w:val="24"/>
              </w:rPr>
              <w:t>до 2020 года и на период до 2030 года</w:t>
            </w:r>
          </w:p>
          <w:p w:rsidR="00CD303B" w:rsidRPr="0080273D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pStyle w:val="ConsPlusNormal"/>
              <w:jc w:val="both"/>
            </w:pPr>
            <w:r w:rsidRPr="0080273D">
              <w:t>О</w:t>
            </w:r>
            <w:r w:rsidR="00C90E1F" w:rsidRPr="0080273D">
              <w:t>снование для разработки программы</w:t>
            </w:r>
          </w:p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80273D" w:rsidRDefault="0045054B" w:rsidP="00CD303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C90E1F" w:rsidRPr="0080273D" w:rsidRDefault="00F54B97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Заказчик: </w:t>
            </w:r>
            <w:r w:rsidR="00F3165A" w:rsidRPr="00F316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Верхнеказымский, Российская Федерация, 628172, Тюменская область, Ханты-Мансийский автономный округ – Югра, Белоярский район, посёлок Верхнеказымский, 2 микрорайон, дом 26</w:t>
            </w:r>
          </w:p>
          <w:p w:rsidR="00F54B97" w:rsidRDefault="00F54B97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Разработчик: ГБУ «Центр перспективных экономических исследований Академии наук Республики Татарстан», Российская Федерация, 420111, Республика Татарстан, город Казань, улица Островского д.23</w:t>
            </w:r>
          </w:p>
          <w:p w:rsidR="00CD303B" w:rsidRPr="0080273D" w:rsidRDefault="00CD303B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C90E1F" w:rsidRPr="00B12346" w:rsidRDefault="005360EE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 программы 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обеспечение нормативного соответствия и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надежности функционирования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способствующих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комфортны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проживания людей</w:t>
            </w:r>
            <w:r w:rsidR="009B7419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dst100013"/>
            <w:bookmarkEnd w:id="0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4"/>
            <w:bookmarkEnd w:id="1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5"/>
            <w:bookmarkEnd w:id="2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  <w:r w:rsidR="00600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6"/>
            <w:bookmarkEnd w:id="3"/>
            <w:proofErr w:type="spellStart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условия для управления транспортным спросом;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7"/>
            <w:bookmarkEnd w:id="4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е) создание приоритетных условий для обеспечения безопасности жизни и здоровья участников дорожного движения по отношению к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экономическим результатам хозяйственной деятельности;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8"/>
            <w:bookmarkEnd w:id="5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9"/>
            <w:bookmarkEnd w:id="6"/>
            <w:proofErr w:type="spellStart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условия для пешеходного и велосипедного передвижения населения;</w:t>
            </w:r>
          </w:p>
          <w:p w:rsidR="00821B5C" w:rsidRDefault="00B1234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dst100020"/>
            <w:bookmarkEnd w:id="7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и)</w:t>
            </w:r>
            <w:r w:rsid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  <w:p w:rsidR="00CD303B" w:rsidRPr="00AD1EDE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AD441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C90E1F"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F54E80" w:rsidRPr="00F41D31" w:rsidRDefault="00F41D31" w:rsidP="00F54E8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1 </w:t>
            </w:r>
            <w:r w:rsidR="00F54E80" w:rsidRP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остановочн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F54E80" w:rsidRP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="00F54E80" w:rsidRP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F54E80" w:rsidRDefault="00F41D31" w:rsidP="00F54E8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числа парковочных мест до 370 мест</w:t>
            </w:r>
            <w:r w:rsidR="00F54E80" w:rsidRP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F41D31" w:rsidRDefault="00F41D31" w:rsidP="00F54E8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71,2 км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7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="004D7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орог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улично-дорожной сети,</w:t>
            </w:r>
          </w:p>
          <w:p w:rsidR="00F41D31" w:rsidRPr="00F41D31" w:rsidRDefault="00F41D31" w:rsidP="00F54E8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числа зарегистрированных ДТП до 1,</w:t>
            </w:r>
          </w:p>
          <w:p w:rsidR="00F41D31" w:rsidRDefault="00F41D31" w:rsidP="00F41D3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2 АЗС,</w:t>
            </w:r>
          </w:p>
          <w:p w:rsidR="00F41D31" w:rsidRDefault="00F41D31" w:rsidP="00F41D3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1 СТО,</w:t>
            </w:r>
          </w:p>
          <w:p w:rsidR="00F41D31" w:rsidRDefault="00F41D31" w:rsidP="00F41D3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1 светофора 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4D7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3277A" w:rsidRDefault="004D7BCF" w:rsidP="004D7BCF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1 велосипедного маршрута,</w:t>
            </w:r>
          </w:p>
          <w:p w:rsidR="00CD303B" w:rsidRPr="00AD1EDE" w:rsidRDefault="004D7BCF" w:rsidP="00CD303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1 порта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B1234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B12346" w:rsidRDefault="00AC3850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AD1EDE" w:rsidRDefault="00B12346" w:rsidP="002577B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г) мероприятия по мониторингу и </w:t>
            </w:r>
            <w:proofErr w:type="gramStart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контролю за</w:t>
            </w:r>
            <w:proofErr w:type="gramEnd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программы</w:t>
            </w:r>
          </w:p>
        </w:tc>
        <w:tc>
          <w:tcPr>
            <w:tcW w:w="5522" w:type="dxa"/>
          </w:tcPr>
          <w:p w:rsidR="0045054B" w:rsidRPr="00CA2249" w:rsidRDefault="0045054B" w:rsidP="0045054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2016 по 2020 годы и на период до 2030 года. Этапы:</w:t>
            </w:r>
          </w:p>
          <w:p w:rsidR="0045054B" w:rsidRPr="00CA2249" w:rsidRDefault="0045054B" w:rsidP="0045054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этап: 2016-2020</w:t>
            </w:r>
            <w:r w:rsidR="00CD3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5054B" w:rsidRPr="00CA2249" w:rsidRDefault="0045054B" w:rsidP="0045054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этап: 2021-2025</w:t>
            </w:r>
            <w:r w:rsidR="00CD3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C90E1F" w:rsidRDefault="0045054B" w:rsidP="0045054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этап: 2026-2030</w:t>
            </w:r>
            <w:r w:rsidR="00CD3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  <w:p w:rsidR="00CD303B" w:rsidRPr="0080273D" w:rsidRDefault="00CD303B" w:rsidP="0045054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80273D" w:rsidTr="001B7291">
        <w:tc>
          <w:tcPr>
            <w:tcW w:w="3823" w:type="dxa"/>
            <w:shd w:val="clear" w:color="auto" w:fill="FFFFFF" w:themeFill="background1"/>
          </w:tcPr>
          <w:p w:rsidR="00C90E1F" w:rsidRPr="00C57EF2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C57EF2" w:rsidRPr="00F34598" w:rsidRDefault="00C57EF2" w:rsidP="00C57EF2">
            <w:pPr>
              <w:autoSpaceDE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75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34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этап (2016-2020) –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7EF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proofErr w:type="gramEnd"/>
            <w:r w:rsidRPr="00C57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млн.рублей из бюджета </w:t>
            </w:r>
            <w:r w:rsidRPr="00F34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автономного округа.</w:t>
            </w:r>
          </w:p>
          <w:p w:rsidR="00C90E1F" w:rsidRPr="002D3FEA" w:rsidRDefault="00C57EF2" w:rsidP="00C57EF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45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Объем финансирования программы на период 2021-2030 годы будет уточняться исходя из объемов финансирования муниципальных </w:t>
            </w:r>
            <w:r w:rsidRPr="002D3FE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программ</w:t>
            </w:r>
            <w:proofErr w:type="gramStart"/>
            <w:r w:rsidRPr="002D3F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proofErr w:type="gramEnd"/>
            <w:r w:rsidR="00AD441D" w:rsidRPr="002D3F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CD303B" w:rsidRPr="00C57EF2" w:rsidRDefault="00CD303B" w:rsidP="00C57EF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1B7291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197737" w:rsidRDefault="0043662C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 в эксплуатацию предусмотренных Программой объектов </w:t>
            </w:r>
            <w:r w:rsidR="00B12346"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в целях обеспечения нормативного соответствия и надежности функционирования </w:t>
            </w:r>
            <w:r w:rsidR="00B12346"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систем, способствующих комфортным и безопасным условиям для проживания людей в </w:t>
            </w:r>
            <w:r w:rsidR="00F3165A" w:rsidRPr="001B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сельском поселении Верхнеказымский</w:t>
            </w:r>
          </w:p>
          <w:p w:rsidR="002D3FEA" w:rsidRPr="001B7291" w:rsidRDefault="002D3FEA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7E7A" w:rsidRDefault="00D57E7A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Pr="0080273D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D57E7A" w:rsidRPr="0080273D" w:rsidRDefault="00D57E7A">
      <w:pPr>
        <w:rPr>
          <w:rFonts w:ascii="Times New Roman" w:hAnsi="Times New Roman" w:cs="Times New Roman"/>
          <w:sz w:val="24"/>
          <w:szCs w:val="24"/>
        </w:rPr>
      </w:pPr>
      <w:r w:rsidRPr="0080273D">
        <w:rPr>
          <w:rFonts w:ascii="Times New Roman" w:hAnsi="Times New Roman" w:cs="Times New Roman"/>
          <w:sz w:val="24"/>
          <w:szCs w:val="24"/>
        </w:rPr>
        <w:br w:type="page"/>
      </w:r>
    </w:p>
    <w:p w:rsidR="00430A18" w:rsidRDefault="00430A18" w:rsidP="00C57EF2">
      <w:pPr>
        <w:pStyle w:val="4"/>
        <w:jc w:val="center"/>
      </w:pPr>
      <w:r>
        <w:lastRenderedPageBreak/>
        <w:t>1</w:t>
      </w:r>
      <w:r w:rsidR="002577B4" w:rsidRPr="002577B4">
        <w:t>.</w:t>
      </w:r>
      <w:r w:rsidRPr="00430A18">
        <w:t xml:space="preserve"> Характеристика существующего состояния транспортной инфраструктуры </w:t>
      </w:r>
    </w:p>
    <w:p w:rsidR="00430A18" w:rsidRDefault="004F175B" w:rsidP="0045054B">
      <w:pPr>
        <w:pStyle w:val="4"/>
        <w:jc w:val="both"/>
      </w:pPr>
      <w:bookmarkStart w:id="8" w:name="dst100037"/>
      <w:bookmarkEnd w:id="8"/>
      <w:r>
        <w:t>1</w:t>
      </w:r>
      <w:r w:rsidR="0045054B">
        <w:t>.1</w:t>
      </w:r>
      <w:r w:rsidR="00430A18" w:rsidRPr="00430A18">
        <w:t xml:space="preserve"> </w:t>
      </w:r>
      <w:r>
        <w:t>С</w:t>
      </w:r>
      <w:r w:rsidR="00430A18" w:rsidRPr="00430A18">
        <w:t>оциально-экономическ</w:t>
      </w:r>
      <w:r>
        <w:t>ая</w:t>
      </w:r>
      <w:r w:rsidR="00430A18" w:rsidRPr="00430A18">
        <w:t xml:space="preserve"> характеристик</w:t>
      </w:r>
      <w:r>
        <w:t>а</w:t>
      </w:r>
      <w:r w:rsidR="00430A18" w:rsidRPr="00430A18">
        <w:t xml:space="preserve"> </w:t>
      </w:r>
      <w:r w:rsidR="001B7291">
        <w:t>сельского поселения Верхнеказымский</w:t>
      </w:r>
      <w:r w:rsidR="00430A18" w:rsidRPr="00430A18">
        <w:t>, характеристик</w:t>
      </w:r>
      <w:r w:rsidR="003159A7">
        <w:t>а</w:t>
      </w:r>
      <w:r w:rsidR="00430A18"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:rsidR="0045054B" w:rsidRPr="00CA2249" w:rsidRDefault="0045054B" w:rsidP="0045054B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численность сельского поселения 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Верхнеказымский Белоярского района составляет 1865 человек</w:t>
      </w:r>
      <w:r w:rsidR="00DC3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инамика численности населения отражена в Таблице 1.</w:t>
      </w:r>
    </w:p>
    <w:p w:rsidR="0045054B" w:rsidRPr="00CA2249" w:rsidRDefault="0045054B" w:rsidP="0045054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Таблица </w:t>
      </w:r>
      <w:r w:rsidR="004E6D87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begin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instrText xml:space="preserve"> SEQ Таблица \* ARABIC </w:instrText>
      </w:r>
      <w:r w:rsidR="004E6D87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separate"/>
      </w:r>
      <w:r w:rsidR="006242B3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>1</w:t>
      </w:r>
      <w:r w:rsidR="004E6D87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end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Среднегодовая численности населения </w:t>
      </w:r>
      <w:r w:rsidRPr="00CA2249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поселения Верхнеказымский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636"/>
        <w:gridCol w:w="3391"/>
      </w:tblGrid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-38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-69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1845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-56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1844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-1</w:t>
            </w:r>
          </w:p>
        </w:tc>
      </w:tr>
    </w:tbl>
    <w:p w:rsidR="0045054B" w:rsidRPr="00CA2249" w:rsidRDefault="0045054B" w:rsidP="0045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49">
        <w:rPr>
          <w:rFonts w:ascii="Times New Roman" w:eastAsia="Times New Roman" w:hAnsi="Times New Roman"/>
          <w:sz w:val="24"/>
          <w:szCs w:val="24"/>
        </w:rPr>
        <w:t>Промышленность сельского поселения Верхнеказымский представлена следующими предприятиями: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- Верхнеказымское линейно-производственное управление магистральных   газопроводов ООО «Газпром трансгаз Югорск» - далее Верхнеказымское ЛПУ МГ (транспортировка газа по трубопроводам, теплоэнергии и воды);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 xml:space="preserve">- Автоколонна №7 Белоярского управления технологического транспорта и специальной техники (Белоярского </w:t>
      </w:r>
      <w:proofErr w:type="spellStart"/>
      <w:r w:rsidRPr="003D18F0">
        <w:rPr>
          <w:rFonts w:ascii="Times New Roman" w:eastAsia="Times New Roman" w:hAnsi="Times New Roman"/>
          <w:sz w:val="24"/>
          <w:szCs w:val="24"/>
        </w:rPr>
        <w:t>УТТиСТ</w:t>
      </w:r>
      <w:proofErr w:type="spellEnd"/>
      <w:r w:rsidRPr="003D18F0">
        <w:rPr>
          <w:rFonts w:ascii="Times New Roman" w:eastAsia="Times New Roman" w:hAnsi="Times New Roman"/>
          <w:sz w:val="24"/>
          <w:szCs w:val="24"/>
        </w:rPr>
        <w:t xml:space="preserve">) ООО «Газпром </w:t>
      </w:r>
      <w:proofErr w:type="spellStart"/>
      <w:r w:rsidRPr="003D18F0">
        <w:rPr>
          <w:rFonts w:ascii="Times New Roman" w:eastAsia="Times New Roman" w:hAnsi="Times New Roman"/>
          <w:sz w:val="24"/>
          <w:szCs w:val="24"/>
        </w:rPr>
        <w:t>трансгаз</w:t>
      </w:r>
      <w:proofErr w:type="spellEnd"/>
      <w:r w:rsidRPr="003D18F0">
        <w:rPr>
          <w:rFonts w:ascii="Times New Roman" w:eastAsia="Times New Roman" w:hAnsi="Times New Roman"/>
          <w:sz w:val="24"/>
          <w:szCs w:val="24"/>
        </w:rPr>
        <w:t xml:space="preserve"> Югорск» (оказание автотранспортных услуг для обеспечения бесперебойного транспорта газа); 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- УМП «Городской центр торговли» (выпуск хлеба и хлебобулочных изделий).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Самым крупным предприятием, обеспечивающим значительную часть сельского поселения Верхнеказымский рабочими местами, является Верхнеказымское ЛПУ МГ.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В 2013 году в сельском поселении Верхнеказымский осуществляет свою деятельность 21 индивидуальный предприниматель и 1 крестьянско-фермерское хозяйство. Сферу потребительского рынка представляют 15 магазинов с общей площадью торговых залов 760 кв. метров и 3 объекта общественного питания с числом посадочных мест – 150 мест и площадью залов обслуживания посетителей – 227 кв. метров.</w:t>
      </w:r>
    </w:p>
    <w:p w:rsidR="00DF409C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</w:t>
      </w:r>
      <w:r w:rsidR="0045054B">
        <w:rPr>
          <w:rFonts w:ascii="Times New Roman" w:eastAsia="Times New Roman" w:hAnsi="Times New Roman"/>
          <w:sz w:val="24"/>
          <w:szCs w:val="24"/>
        </w:rPr>
        <w:t xml:space="preserve"> собственности. Основная часть </w:t>
      </w:r>
      <w:r w:rsidRPr="003D18F0">
        <w:rPr>
          <w:rFonts w:ascii="Times New Roman" w:eastAsia="Times New Roman" w:hAnsi="Times New Roman"/>
          <w:sz w:val="24"/>
          <w:szCs w:val="24"/>
        </w:rPr>
        <w:t>оборота  розничной  торговли в  прогнозном периоде 2014-2016 годов будет  обеспечиваться представителями  малого бизнеса (индивидуальными предпринимателями, осуществляющими свою деятельность без образования юридического лица).</w:t>
      </w:r>
    </w:p>
    <w:p w:rsidR="004F175B" w:rsidRPr="00BE0690" w:rsidRDefault="004F175B" w:rsidP="004F17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0690">
        <w:rPr>
          <w:rFonts w:ascii="Times New Roman" w:eastAsia="Times New Roman" w:hAnsi="Times New Roman"/>
          <w:sz w:val="24"/>
          <w:szCs w:val="24"/>
        </w:rPr>
        <w:t xml:space="preserve">Недостаточный уровень обеспеченности объектами </w:t>
      </w:r>
      <w:r>
        <w:rPr>
          <w:rFonts w:ascii="Times New Roman" w:eastAsia="Times New Roman" w:hAnsi="Times New Roman"/>
          <w:sz w:val="24"/>
          <w:szCs w:val="24"/>
        </w:rPr>
        <w:t xml:space="preserve">транспортной </w:t>
      </w:r>
      <w:r w:rsidRPr="00BE0690">
        <w:rPr>
          <w:rFonts w:ascii="Times New Roman" w:eastAsia="Times New Roman" w:hAnsi="Times New Roman"/>
          <w:sz w:val="24"/>
          <w:szCs w:val="24"/>
        </w:rPr>
        <w:t xml:space="preserve">инфраструктуры предполагает реализацию ряда мероприятий, предусмотренных в муниципальных программах района, а также в схеме территориального планирования Белоярского района. Схема территориального планирования </w:t>
      </w:r>
      <w:r w:rsidR="007159D5">
        <w:rPr>
          <w:rFonts w:ascii="Times New Roman" w:eastAsia="Times New Roman" w:hAnsi="Times New Roman"/>
          <w:sz w:val="24"/>
          <w:szCs w:val="24"/>
        </w:rPr>
        <w:t>сельского</w:t>
      </w:r>
      <w:r w:rsidRPr="00BE0690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7159D5">
        <w:rPr>
          <w:rFonts w:ascii="Times New Roman" w:eastAsia="Times New Roman" w:hAnsi="Times New Roman"/>
          <w:sz w:val="24"/>
          <w:szCs w:val="24"/>
        </w:rPr>
        <w:t>Верхнеказымский</w:t>
      </w:r>
      <w:r w:rsidRPr="00BE0690">
        <w:rPr>
          <w:rFonts w:ascii="Times New Roman" w:eastAsia="Times New Roman" w:hAnsi="Times New Roman"/>
          <w:sz w:val="24"/>
          <w:szCs w:val="24"/>
        </w:rPr>
        <w:t xml:space="preserve"> разработана на расчетный срок до 2032 года. Последовательность выполнения мероприятий по территориальному планированию, их сроки, определяются органами местного самоуправления района исходя из складывающейся социально-экономической обстановки в районе, финансовых возможностей местного бюджета, сроков и этапов </w:t>
      </w:r>
      <w:r w:rsidRPr="00BE0690">
        <w:rPr>
          <w:rFonts w:ascii="Times New Roman" w:eastAsia="Times New Roman" w:hAnsi="Times New Roman"/>
          <w:sz w:val="24"/>
          <w:szCs w:val="24"/>
        </w:rPr>
        <w:lastRenderedPageBreak/>
        <w:t>реализации соответствующих федеральных целевых программ в части, затрагивающей территорию района, приоритетных национальных проектов.</w:t>
      </w:r>
    </w:p>
    <w:p w:rsidR="007E1FA1" w:rsidRDefault="00DF409C" w:rsidP="007E1F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С целью развития транспортной инфраструктуры сельского поселения генеральным планом предлага</w:t>
      </w:r>
      <w:r w:rsidR="007E1FA1">
        <w:rPr>
          <w:rFonts w:ascii="Times New Roman" w:eastAsia="Times New Roman" w:hAnsi="Times New Roman"/>
          <w:sz w:val="24"/>
          <w:szCs w:val="24"/>
        </w:rPr>
        <w:t>ется следующий ряд мероприятий:</w:t>
      </w:r>
    </w:p>
    <w:p w:rsidR="007E1FA1" w:rsidRPr="007E1FA1" w:rsidRDefault="007E1FA1" w:rsidP="001B72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1FA1">
        <w:rPr>
          <w:rFonts w:ascii="Times New Roman" w:eastAsia="Times New Roman" w:hAnsi="Times New Roman"/>
          <w:sz w:val="24"/>
          <w:szCs w:val="24"/>
        </w:rPr>
        <w:t>строительство причала;</w:t>
      </w:r>
    </w:p>
    <w:p w:rsidR="007E1FA1" w:rsidRPr="007E1FA1" w:rsidRDefault="00DF409C" w:rsidP="001B72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1FA1">
        <w:rPr>
          <w:rFonts w:ascii="Times New Roman" w:eastAsia="Times New Roman" w:hAnsi="Times New Roman"/>
          <w:sz w:val="24"/>
          <w:szCs w:val="24"/>
        </w:rPr>
        <w:t>введение дифференциации улично-дорожной сети, с учётом функционального назначения улиц и дорог, интенсивности движения транспорта на отдельных участках и положения улиц в транспортной схеме сельского поселения;</w:t>
      </w:r>
    </w:p>
    <w:p w:rsidR="007E1FA1" w:rsidRPr="007E1FA1" w:rsidRDefault="00DF409C" w:rsidP="001B72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1FA1">
        <w:rPr>
          <w:rFonts w:ascii="Times New Roman" w:eastAsia="Times New Roman" w:hAnsi="Times New Roman"/>
          <w:sz w:val="24"/>
          <w:szCs w:val="24"/>
        </w:rPr>
        <w:t>строительство дорожно-эксплуатационного у</w:t>
      </w:r>
      <w:r w:rsidR="007E1FA1" w:rsidRPr="007E1FA1">
        <w:rPr>
          <w:rFonts w:ascii="Times New Roman" w:eastAsia="Times New Roman" w:hAnsi="Times New Roman"/>
          <w:sz w:val="24"/>
          <w:szCs w:val="24"/>
        </w:rPr>
        <w:t>частка, мощностью 200 км дорог;</w:t>
      </w:r>
    </w:p>
    <w:p w:rsidR="007E1FA1" w:rsidRPr="007E1FA1" w:rsidRDefault="00DF409C" w:rsidP="001B72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1FA1">
        <w:rPr>
          <w:rFonts w:ascii="Times New Roman" w:eastAsia="Times New Roman" w:hAnsi="Times New Roman"/>
          <w:sz w:val="24"/>
          <w:szCs w:val="24"/>
        </w:rPr>
        <w:t>строительств</w:t>
      </w:r>
      <w:r w:rsidR="007E1FA1" w:rsidRPr="007E1FA1">
        <w:rPr>
          <w:rFonts w:ascii="Times New Roman" w:eastAsia="Times New Roman" w:hAnsi="Times New Roman"/>
          <w:sz w:val="24"/>
          <w:szCs w:val="24"/>
        </w:rPr>
        <w:t>о двух автозаправочных станций;</w:t>
      </w:r>
    </w:p>
    <w:p w:rsidR="00DF409C" w:rsidRPr="007E1FA1" w:rsidRDefault="00DF409C" w:rsidP="001B729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1FA1">
        <w:rPr>
          <w:rFonts w:ascii="Times New Roman" w:eastAsia="Times New Roman" w:hAnsi="Times New Roman"/>
          <w:sz w:val="24"/>
          <w:szCs w:val="24"/>
        </w:rPr>
        <w:t>строительство станции технического обслуживания на три поста.</w:t>
      </w:r>
    </w:p>
    <w:p w:rsidR="00DF409C" w:rsidRPr="00DF409C" w:rsidRDefault="00DF409C" w:rsidP="001B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 xml:space="preserve">При реконструкции и строительстве дорог дорожное полотно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 </w:t>
      </w:r>
      <w:r w:rsidRPr="00DF409C">
        <w:rPr>
          <w:rFonts w:ascii="Times New Roman" w:eastAsia="Times New Roman" w:hAnsi="Times New Roman"/>
          <w:sz w:val="24"/>
          <w:szCs w:val="24"/>
        </w:rPr>
        <w:t>выполнить в твердом железобетонном исполнении для всех улиц и проездов.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Проектом определена следующая протяженность дорог: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Дорога в населенном пункте: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- реконструируемые - протяженность 8124 м, площадь дорожного полотна составляет 56871 м</w:t>
      </w:r>
      <w:proofErr w:type="gramStart"/>
      <w:r w:rsidRPr="00DF409C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DF409C">
        <w:rPr>
          <w:rFonts w:ascii="Times New Roman" w:eastAsia="Times New Roman" w:hAnsi="Times New Roman"/>
          <w:sz w:val="24"/>
          <w:szCs w:val="24"/>
        </w:rPr>
        <w:t>;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- проектируемые - протяженность 4204 м, площадь дорожного полотна составляет 29431 м</w:t>
      </w:r>
      <w:proofErr w:type="gramStart"/>
      <w:r w:rsidRPr="00DF409C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DF409C">
        <w:rPr>
          <w:rFonts w:ascii="Times New Roman" w:eastAsia="Times New Roman" w:hAnsi="Times New Roman"/>
          <w:sz w:val="24"/>
          <w:szCs w:val="24"/>
        </w:rPr>
        <w:t>.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Проезд: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- реконструируемые - протяженность 3290 м, площадь дорожного полотна составляет 19742 м</w:t>
      </w:r>
      <w:proofErr w:type="gramStart"/>
      <w:r w:rsidRPr="00DF409C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DF409C">
        <w:rPr>
          <w:rFonts w:ascii="Times New Roman" w:eastAsia="Times New Roman" w:hAnsi="Times New Roman"/>
          <w:sz w:val="24"/>
          <w:szCs w:val="24"/>
        </w:rPr>
        <w:t>;</w:t>
      </w:r>
    </w:p>
    <w:p w:rsidR="00DF409C" w:rsidRPr="00DF409C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- проектируемые - протяженность 1006 м, площадь дорожного полотна составляет 6038 м</w:t>
      </w:r>
      <w:proofErr w:type="gramStart"/>
      <w:r w:rsidRPr="00DF409C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DF409C">
        <w:rPr>
          <w:rFonts w:ascii="Times New Roman" w:eastAsia="Times New Roman" w:hAnsi="Times New Roman"/>
          <w:sz w:val="24"/>
          <w:szCs w:val="24"/>
        </w:rPr>
        <w:t>.</w:t>
      </w:r>
    </w:p>
    <w:p w:rsidR="00FF13E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09C">
        <w:rPr>
          <w:rFonts w:ascii="Times New Roman" w:eastAsia="Times New Roman" w:hAnsi="Times New Roman"/>
          <w:sz w:val="24"/>
          <w:szCs w:val="24"/>
        </w:rPr>
        <w:t>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инфраструктуры.</w:t>
      </w:r>
    </w:p>
    <w:p w:rsidR="00430A18" w:rsidRDefault="00430A18" w:rsidP="00C26FED">
      <w:pPr>
        <w:pStyle w:val="4"/>
        <w:jc w:val="both"/>
      </w:pPr>
      <w:bookmarkStart w:id="9" w:name="dst100039"/>
      <w:bookmarkEnd w:id="9"/>
      <w:r>
        <w:t>1.</w:t>
      </w:r>
      <w:r w:rsidR="0045054B">
        <w:t>2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dst100040"/>
      <w:bookmarkEnd w:id="10"/>
      <w:r w:rsidRPr="006436DC">
        <w:rPr>
          <w:rFonts w:ascii="Times New Roman" w:eastAsia="Times New Roman" w:hAnsi="Times New Roman"/>
          <w:sz w:val="24"/>
          <w:szCs w:val="24"/>
        </w:rPr>
        <w:t>Поселение расположено в средней части Белоярского района Ханты-Мансийского автономного округа – Югры, на расстоянии 70 км от административного центра района – г. Белоярского. По южной части территории п. Верхнеказымского проходит автомобильная дорога межмуниципального значения «</w:t>
      </w:r>
      <w:proofErr w:type="spellStart"/>
      <w:r w:rsidRPr="006436DC">
        <w:rPr>
          <w:rFonts w:ascii="Times New Roman" w:eastAsia="Times New Roman" w:hAnsi="Times New Roman"/>
          <w:sz w:val="24"/>
          <w:szCs w:val="24"/>
        </w:rPr>
        <w:t>Андра</w:t>
      </w:r>
      <w:proofErr w:type="spellEnd"/>
      <w:r w:rsidRPr="006436DC">
        <w:rPr>
          <w:rFonts w:ascii="Times New Roman" w:eastAsia="Times New Roman" w:hAnsi="Times New Roman"/>
          <w:sz w:val="24"/>
          <w:szCs w:val="24"/>
        </w:rPr>
        <w:t xml:space="preserve"> - Белоярский - граница Ямало-Ненецкого автономного округа», подъезд к </w:t>
      </w:r>
      <w:proofErr w:type="gramStart"/>
      <w:r w:rsidRPr="006436D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6436DC">
        <w:rPr>
          <w:rFonts w:ascii="Times New Roman" w:eastAsia="Times New Roman" w:hAnsi="Times New Roman"/>
          <w:sz w:val="24"/>
          <w:szCs w:val="24"/>
        </w:rPr>
        <w:t xml:space="preserve">. Белоярский с капитальным типом дорожной одежды. Эта дорога соединяет п. Верхнеказымский с </w:t>
      </w:r>
      <w:proofErr w:type="spellStart"/>
      <w:r w:rsidRPr="006436DC"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 w:rsidRPr="006436D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436DC">
        <w:rPr>
          <w:rFonts w:ascii="Times New Roman" w:eastAsia="Times New Roman" w:hAnsi="Times New Roman"/>
          <w:sz w:val="24"/>
          <w:szCs w:val="24"/>
        </w:rPr>
        <w:t>Казымом</w:t>
      </w:r>
      <w:proofErr w:type="spellEnd"/>
      <w:r w:rsidRPr="006436DC">
        <w:rPr>
          <w:rFonts w:ascii="Times New Roman" w:eastAsia="Times New Roman" w:hAnsi="Times New Roman"/>
          <w:sz w:val="24"/>
          <w:szCs w:val="24"/>
        </w:rPr>
        <w:t xml:space="preserve"> и п. </w:t>
      </w:r>
      <w:proofErr w:type="spellStart"/>
      <w:r w:rsidRPr="006436DC">
        <w:rPr>
          <w:rFonts w:ascii="Times New Roman" w:eastAsia="Times New Roman" w:hAnsi="Times New Roman"/>
          <w:sz w:val="24"/>
          <w:szCs w:val="24"/>
        </w:rPr>
        <w:t>Лыхмой</w:t>
      </w:r>
      <w:proofErr w:type="spellEnd"/>
      <w:r w:rsidRPr="006436DC">
        <w:rPr>
          <w:rFonts w:ascii="Times New Roman" w:eastAsia="Times New Roman" w:hAnsi="Times New Roman"/>
          <w:sz w:val="24"/>
          <w:szCs w:val="24"/>
        </w:rPr>
        <w:t xml:space="preserve"> на юго-западе, а также с п</w:t>
      </w:r>
      <w:proofErr w:type="gramStart"/>
      <w:r w:rsidRPr="006436DC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6436DC">
        <w:rPr>
          <w:rFonts w:ascii="Times New Roman" w:eastAsia="Times New Roman" w:hAnsi="Times New Roman"/>
          <w:sz w:val="24"/>
          <w:szCs w:val="24"/>
        </w:rPr>
        <w:t>основкой на северо-востоке, по ней осуществляется регулярное автобусное движение. В зимнее время связь с другими поселениями Белоярского района так же осуществляется по автозимникам.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36DC">
        <w:rPr>
          <w:rFonts w:ascii="Times New Roman" w:eastAsia="Times New Roman" w:hAnsi="Times New Roman"/>
          <w:sz w:val="24"/>
          <w:szCs w:val="24"/>
        </w:rPr>
        <w:t xml:space="preserve">Из объектов других видов транспорта, действующих на территории поселения, следует отметить вертолетную площадку, расположенную в южной части </w:t>
      </w:r>
      <w:proofErr w:type="spellStart"/>
      <w:r w:rsidRPr="006436DC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6436DC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6436DC">
        <w:rPr>
          <w:rFonts w:ascii="Times New Roman" w:eastAsia="Times New Roman" w:hAnsi="Times New Roman"/>
          <w:sz w:val="24"/>
          <w:szCs w:val="24"/>
        </w:rPr>
        <w:t>ерхнеказымского</w:t>
      </w:r>
      <w:proofErr w:type="spellEnd"/>
      <w:r w:rsidRPr="006436DC">
        <w:rPr>
          <w:rFonts w:ascii="Times New Roman" w:eastAsia="Times New Roman" w:hAnsi="Times New Roman"/>
          <w:sz w:val="24"/>
          <w:szCs w:val="24"/>
        </w:rPr>
        <w:t>, и два причала, расположенных в северной части населенного пункта. Сообщение поселка с соседними населенными пунктами при помощи вертолетов осуществляется в течение всего года.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36DC">
        <w:rPr>
          <w:rFonts w:ascii="Times New Roman" w:eastAsia="Times New Roman" w:hAnsi="Times New Roman"/>
          <w:sz w:val="24"/>
          <w:szCs w:val="24"/>
        </w:rPr>
        <w:t>Железнодорожный транспорт на территории Белоярского района отсутствует.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36DC">
        <w:rPr>
          <w:rFonts w:ascii="Times New Roman" w:eastAsia="Times New Roman" w:hAnsi="Times New Roman"/>
          <w:sz w:val="24"/>
          <w:szCs w:val="24"/>
        </w:rPr>
        <w:t>На сегодняшний день поселение в основном обеспечено внешними транспортными связями, однако двух причалов, действующих на территории поселения, оказывается недостаточно для полноценной работы водного транспорта.</w:t>
      </w:r>
    </w:p>
    <w:p w:rsidR="00430A18" w:rsidRDefault="00430A18" w:rsidP="00C26FED">
      <w:pPr>
        <w:pStyle w:val="4"/>
        <w:jc w:val="both"/>
      </w:pPr>
      <w:r>
        <w:lastRenderedPageBreak/>
        <w:t>1.</w:t>
      </w:r>
      <w:r w:rsidR="0045054B">
        <w:t>3</w:t>
      </w:r>
      <w:r>
        <w:t>.</w:t>
      </w:r>
      <w:r w:rsidRPr="00430A18">
        <w:t xml:space="preserve"> </w:t>
      </w:r>
      <w:r>
        <w:t xml:space="preserve"> 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городского округа</w:t>
      </w:r>
      <w:r w:rsidR="00CA2249">
        <w:t xml:space="preserve">, параметры дорожного движения, </w:t>
      </w:r>
      <w:r w:rsidRPr="00430A18">
        <w:t>оценк</w:t>
      </w:r>
      <w:r w:rsidR="00820FC3">
        <w:t>а качества содержания дорог</w:t>
      </w:r>
    </w:p>
    <w:p w:rsidR="000A79EA" w:rsidRPr="006436DC" w:rsidRDefault="000A79EA" w:rsidP="000A79EA">
      <w:pPr>
        <w:pStyle w:val="S0"/>
        <w:rPr>
          <w:spacing w:val="2"/>
        </w:rPr>
      </w:pPr>
      <w:r w:rsidRPr="006436DC">
        <w:t xml:space="preserve">В настоящее время большая часть улиц и дорог </w:t>
      </w:r>
      <w:r w:rsidRPr="006436DC">
        <w:rPr>
          <w:spacing w:val="3"/>
        </w:rPr>
        <w:t xml:space="preserve">п. Верхнеказымского </w:t>
      </w:r>
      <w:r w:rsidRPr="006436DC">
        <w:t>имеют дорожные одежды капитального типа со сборным железобетонным покрытием.</w:t>
      </w:r>
      <w:r w:rsidRPr="006436DC">
        <w:rPr>
          <w:spacing w:val="2"/>
        </w:rPr>
        <w:t xml:space="preserve"> Основные показатели по существующей улично-дорожной сети населенного пункта представлены в таблице ниже.</w:t>
      </w:r>
    </w:p>
    <w:p w:rsidR="000A79EA" w:rsidRPr="006436DC" w:rsidRDefault="000A79EA" w:rsidP="000A79EA">
      <w:pPr>
        <w:pStyle w:val="S0"/>
        <w:rPr>
          <w:spacing w:val="2"/>
        </w:rPr>
      </w:pPr>
    </w:p>
    <w:p w:rsidR="000A79EA" w:rsidRPr="001B7291" w:rsidRDefault="000A79EA" w:rsidP="001B7291">
      <w:pPr>
        <w:pStyle w:val="afc"/>
        <w:jc w:val="both"/>
        <w:rPr>
          <w:b w:val="0"/>
          <w:spacing w:val="2"/>
          <w:sz w:val="24"/>
          <w:szCs w:val="24"/>
        </w:rPr>
      </w:pPr>
      <w:r w:rsidRPr="001B7291">
        <w:rPr>
          <w:b w:val="0"/>
          <w:sz w:val="24"/>
          <w:szCs w:val="24"/>
        </w:rPr>
        <w:t xml:space="preserve">Таблица </w:t>
      </w:r>
      <w:r w:rsidR="001B7291" w:rsidRPr="001B7291">
        <w:rPr>
          <w:b w:val="0"/>
          <w:sz w:val="24"/>
          <w:szCs w:val="24"/>
        </w:rPr>
        <w:t xml:space="preserve">2 - </w:t>
      </w:r>
      <w:r w:rsidRPr="001B7291">
        <w:rPr>
          <w:b w:val="0"/>
          <w:spacing w:val="2"/>
          <w:sz w:val="24"/>
          <w:szCs w:val="24"/>
        </w:rPr>
        <w:t>Показатели существующей улично-дорожной сети</w:t>
      </w:r>
    </w:p>
    <w:tbl>
      <w:tblPr>
        <w:tblW w:w="0" w:type="auto"/>
        <w:jc w:val="center"/>
        <w:tblLayout w:type="fixed"/>
        <w:tblLook w:val="0000"/>
      </w:tblPr>
      <w:tblGrid>
        <w:gridCol w:w="704"/>
        <w:gridCol w:w="2977"/>
        <w:gridCol w:w="2896"/>
        <w:gridCol w:w="2478"/>
      </w:tblGrid>
      <w:tr w:rsidR="000A79EA" w:rsidRPr="006436DC" w:rsidTr="00CA2249">
        <w:trPr>
          <w:trHeight w:val="7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 xml:space="preserve">№ </w:t>
            </w:r>
            <w:proofErr w:type="spellStart"/>
            <w:proofErr w:type="gramStart"/>
            <w:r w:rsidRPr="00CA2249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spellEnd"/>
            <w:proofErr w:type="gramEnd"/>
            <w:r w:rsidRPr="00CA2249">
              <w:rPr>
                <w:rFonts w:ascii="Times New Roman" w:hAnsi="Times New Roman" w:cs="Times New Roman"/>
                <w:b/>
                <w:spacing w:val="2"/>
              </w:rPr>
              <w:t>/</w:t>
            </w:r>
            <w:proofErr w:type="spellStart"/>
            <w:r w:rsidRPr="00CA2249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>Вид покрытия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>Площадь</w:t>
            </w:r>
          </w:p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  <w:vertAlign w:val="superscript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>покрытия, м</w:t>
            </w:r>
            <w:proofErr w:type="gramStart"/>
            <w:r w:rsidRPr="00CA2249">
              <w:rPr>
                <w:rFonts w:ascii="Times New Roman" w:hAnsi="Times New Roman" w:cs="Times New Roman"/>
                <w:b/>
                <w:spacing w:val="2"/>
                <w:vertAlign w:val="superscript"/>
              </w:rPr>
              <w:t>2</w:t>
            </w:r>
            <w:proofErr w:type="gram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>Протяженность</w:t>
            </w:r>
          </w:p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 xml:space="preserve">дорог </w:t>
            </w:r>
            <w:proofErr w:type="gramStart"/>
            <w:r w:rsidRPr="00CA2249">
              <w:rPr>
                <w:rFonts w:ascii="Times New Roman" w:hAnsi="Times New Roman" w:cs="Times New Roman"/>
                <w:b/>
                <w:spacing w:val="2"/>
              </w:rPr>
              <w:t>с</w:t>
            </w:r>
            <w:proofErr w:type="gramEnd"/>
            <w:r w:rsidRPr="00CA2249">
              <w:rPr>
                <w:rFonts w:ascii="Times New Roman" w:hAnsi="Times New Roman" w:cs="Times New Roman"/>
                <w:b/>
                <w:spacing w:val="2"/>
              </w:rPr>
              <w:t xml:space="preserve"> данным</w:t>
            </w:r>
          </w:p>
          <w:p w:rsidR="000A79EA" w:rsidRPr="00CA2249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A2249">
              <w:rPr>
                <w:rFonts w:ascii="Times New Roman" w:hAnsi="Times New Roman" w:cs="Times New Roman"/>
                <w:b/>
                <w:spacing w:val="2"/>
              </w:rPr>
              <w:t xml:space="preserve">видом покрытия, </w:t>
            </w:r>
            <w:proofErr w:type="gramStart"/>
            <w:r w:rsidRPr="00CA2249">
              <w:rPr>
                <w:rFonts w:ascii="Times New Roman" w:hAnsi="Times New Roman" w:cs="Times New Roman"/>
                <w:b/>
                <w:spacing w:val="2"/>
              </w:rPr>
              <w:t>км</w:t>
            </w:r>
            <w:proofErr w:type="gramEnd"/>
          </w:p>
        </w:tc>
      </w:tr>
      <w:tr w:rsidR="000A79EA" w:rsidRPr="006436DC" w:rsidTr="00CA2249">
        <w:trPr>
          <w:trHeight w:val="2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Сборное железобетонное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  <w:lang w:val="en-US"/>
              </w:rPr>
              <w:t>10</w:t>
            </w:r>
            <w:r w:rsidRPr="006436DC">
              <w:rPr>
                <w:rFonts w:ascii="Times New Roman" w:hAnsi="Times New Roman" w:cs="Times New Roman"/>
                <w:spacing w:val="2"/>
              </w:rPr>
              <w:t>5 050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6436DC">
              <w:rPr>
                <w:rFonts w:ascii="Times New Roman" w:hAnsi="Times New Roman" w:cs="Times New Roman"/>
                <w:spacing w:val="2"/>
                <w:lang w:val="en-US"/>
              </w:rPr>
              <w:t>19,2</w:t>
            </w:r>
          </w:p>
        </w:tc>
      </w:tr>
      <w:tr w:rsidR="000A79EA" w:rsidRPr="006436DC" w:rsidTr="00CA2249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tabs>
                <w:tab w:val="right" w:pos="3389"/>
              </w:tabs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Грунтовое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35 818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6436DC">
              <w:rPr>
                <w:rFonts w:ascii="Times New Roman" w:hAnsi="Times New Roman" w:cs="Times New Roman"/>
                <w:spacing w:val="2"/>
                <w:lang w:val="en-US"/>
              </w:rPr>
              <w:t>5,2</w:t>
            </w:r>
          </w:p>
        </w:tc>
      </w:tr>
      <w:tr w:rsidR="000A79EA" w:rsidRPr="006436DC" w:rsidTr="00CA2249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tabs>
                <w:tab w:val="right" w:pos="3389"/>
              </w:tabs>
              <w:snapToGri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140 868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EA" w:rsidRPr="006436DC" w:rsidRDefault="000A79EA" w:rsidP="00CA2249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6436DC">
              <w:rPr>
                <w:rFonts w:ascii="Times New Roman" w:hAnsi="Times New Roman" w:cs="Times New Roman"/>
                <w:spacing w:val="2"/>
              </w:rPr>
              <w:t>24,4</w:t>
            </w:r>
          </w:p>
        </w:tc>
      </w:tr>
    </w:tbl>
    <w:p w:rsidR="000A79EA" w:rsidRPr="006436DC" w:rsidRDefault="000A79EA" w:rsidP="000A79EA">
      <w:pPr>
        <w:ind w:left="1" w:firstLine="679"/>
        <w:rPr>
          <w:rFonts w:ascii="Times New Roman" w:hAnsi="Times New Roman" w:cs="Times New Roman"/>
          <w:lang w:val="en-US"/>
        </w:rPr>
      </w:pP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 xml:space="preserve">Из таблицы </w:t>
      </w:r>
      <w:r w:rsidR="00CA2249">
        <w:rPr>
          <w:rFonts w:ascii="Times New Roman" w:hAnsi="Times New Roman" w:cs="Times New Roman"/>
          <w:sz w:val="24"/>
          <w:szCs w:val="24"/>
        </w:rPr>
        <w:t>2</w:t>
      </w:r>
      <w:r w:rsidRPr="006436DC">
        <w:rPr>
          <w:rFonts w:ascii="Times New Roman" w:hAnsi="Times New Roman" w:cs="Times New Roman"/>
          <w:sz w:val="24"/>
          <w:szCs w:val="24"/>
        </w:rPr>
        <w:t xml:space="preserve"> видно, что порядка 12% улиц поселка не имеют дорожных одежд капитального типа, что затрудняет движение по ним в неблагоприятные периоды года.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>Пешеходное движение на некоторых улицах осуществляется по их проезжим частям вследствие отсутствия тротуаров.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>На территории поселения в настоящее время не имеется автозаправочных станций (далее по тексту – АЗС) и станций технического обслуживания (далее по тексту – СТО). Ремонт и обслуживание автотранспортных сре</w:t>
      </w:r>
      <w:proofErr w:type="gramStart"/>
      <w:r w:rsidRPr="006436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36DC">
        <w:rPr>
          <w:rFonts w:ascii="Times New Roman" w:hAnsi="Times New Roman" w:cs="Times New Roman"/>
          <w:sz w:val="24"/>
          <w:szCs w:val="24"/>
        </w:rPr>
        <w:t>оизводятся в гаражах и на территории предприятий.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 xml:space="preserve">Хранение индивидуального автотранспорта осуществляется на территории приусадебных участков, а также в гаражах. Общая мощность гаражей, расположенных на территории населенного пункта, составляет 105 </w:t>
      </w:r>
      <w:proofErr w:type="spellStart"/>
      <w:r w:rsidRPr="006436D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436DC">
        <w:rPr>
          <w:rFonts w:ascii="Times New Roman" w:hAnsi="Times New Roman" w:cs="Times New Roman"/>
          <w:sz w:val="24"/>
          <w:szCs w:val="24"/>
        </w:rPr>
        <w:t>.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ab/>
        <w:t>- низкое качество обслуживания автомобильных дорог;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ab/>
        <w:t>- часть улиц не имеет дорожных одежд капитального типа;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ab/>
        <w:t>- на части улиц отсутствуют тротуары;</w:t>
      </w:r>
    </w:p>
    <w:p w:rsidR="000A79EA" w:rsidRPr="006436DC" w:rsidRDefault="000A79EA" w:rsidP="0064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DC">
        <w:rPr>
          <w:rFonts w:ascii="Times New Roman" w:hAnsi="Times New Roman" w:cs="Times New Roman"/>
          <w:sz w:val="24"/>
          <w:szCs w:val="24"/>
        </w:rPr>
        <w:tab/>
        <w:t>- отсутствуют АЗС и СТО.</w:t>
      </w:r>
    </w:p>
    <w:p w:rsidR="000A79EA" w:rsidRPr="000B35F3" w:rsidRDefault="000A79EA" w:rsidP="000A79EA">
      <w:pPr>
        <w:pStyle w:val="S3"/>
      </w:pPr>
    </w:p>
    <w:p w:rsidR="00430A18" w:rsidRDefault="00430A18" w:rsidP="00BE5AE1">
      <w:pPr>
        <w:pStyle w:val="4"/>
        <w:spacing w:before="0" w:beforeAutospacing="0" w:after="0" w:afterAutospacing="0"/>
        <w:jc w:val="both"/>
      </w:pPr>
      <w:r>
        <w:t>1.</w:t>
      </w:r>
      <w:r w:rsidR="0045054B">
        <w:t>4</w:t>
      </w:r>
      <w:r>
        <w:t xml:space="preserve">. </w:t>
      </w:r>
      <w:r w:rsidR="00C26FED">
        <w:t>А</w:t>
      </w:r>
      <w:r w:rsidRPr="00430A18">
        <w:t>нализ состава парка транспортных средств и уровня автомобилизации в поселении, городском округе, обеспеченность па</w:t>
      </w:r>
      <w:r w:rsidR="00BE5AE1">
        <w:t>рковками (парковочными местами)</w:t>
      </w:r>
    </w:p>
    <w:p w:rsidR="006436DC" w:rsidRDefault="006436DC" w:rsidP="006436DC">
      <w:pPr>
        <w:pStyle w:val="S0"/>
      </w:pPr>
    </w:p>
    <w:p w:rsidR="006436DC" w:rsidRPr="002345C2" w:rsidRDefault="006436DC" w:rsidP="006436DC">
      <w:pPr>
        <w:pStyle w:val="S0"/>
      </w:pPr>
      <w:r w:rsidRPr="002345C2">
        <w:t xml:space="preserve">В связи с расчетным увеличением численности индивидуальных легковых автомобилей на территории поселка предлагается сохранение части существующих и строительство дополнительных гаражей для постоянного хранения автотранспортных средств этой группы. На основании СП 42.13330.2011 гаражи предусмотрены для 90% расчетного числа индивидуальных легковых автомобилей. Учитывая, что значительная часть населения поселения обеспечена индивидуальным жильем с </w:t>
      </w:r>
      <w:proofErr w:type="spellStart"/>
      <w:r w:rsidRPr="002345C2">
        <w:t>приквартирными</w:t>
      </w:r>
      <w:proofErr w:type="spellEnd"/>
      <w:r w:rsidRPr="002345C2">
        <w:t xml:space="preserve"> земельными участками, на территории которых, как правило, размещаются гаражи, при расчете потребности гаражей учтены только легковые автомобили, принадлежащие гражданам, проживающим в многоквартирных домах без </w:t>
      </w:r>
      <w:proofErr w:type="spellStart"/>
      <w:r w:rsidRPr="002345C2">
        <w:t>приквартирных</w:t>
      </w:r>
      <w:proofErr w:type="spellEnd"/>
      <w:r w:rsidRPr="002345C2">
        <w:t xml:space="preserve"> земельных участков. Минимально необходимая мощность гаражей сос</w:t>
      </w:r>
      <w:r w:rsidR="001E68A8">
        <w:t xml:space="preserve">тавляет порядка 350 </w:t>
      </w:r>
      <w:proofErr w:type="spellStart"/>
      <w:r w:rsidR="001E68A8">
        <w:t>машино-мест</w:t>
      </w:r>
      <w:proofErr w:type="spellEnd"/>
      <w:r w:rsidRPr="002345C2">
        <w:t>. Таким образом, суммарное количество сохраняемых и строящихся гаражей в поселке составит 370 шт. Этого количества гаражей достаточно для размещения 90% расчетного парка легковых индивидуальных автомобилей.</w:t>
      </w:r>
    </w:p>
    <w:p w:rsidR="00BE5AE1" w:rsidRDefault="00BE5AE1" w:rsidP="00BE5AE1">
      <w:pPr>
        <w:pStyle w:val="S0"/>
        <w:ind w:firstLine="0"/>
        <w:rPr>
          <w:bCs/>
        </w:rPr>
      </w:pPr>
    </w:p>
    <w:p w:rsidR="00430A18" w:rsidRDefault="00430A18" w:rsidP="00FD61EB">
      <w:pPr>
        <w:pStyle w:val="4"/>
        <w:spacing w:before="0" w:beforeAutospacing="0" w:after="0" w:afterAutospacing="0"/>
      </w:pPr>
      <w:bookmarkStart w:id="11" w:name="dst100042"/>
      <w:bookmarkEnd w:id="11"/>
      <w:r>
        <w:lastRenderedPageBreak/>
        <w:t>1.</w:t>
      </w:r>
      <w:r w:rsidR="0045054B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:rsidR="00956D81" w:rsidRDefault="00956D81" w:rsidP="00C57EF2">
      <w:pPr>
        <w:spacing w:after="0"/>
      </w:pPr>
    </w:p>
    <w:p w:rsidR="00956D81" w:rsidRDefault="00956D81" w:rsidP="0095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81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перевозки осуществляются маршрутными автобусами марки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D81" w:rsidRDefault="00956D81" w:rsidP="0095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8A8">
        <w:rPr>
          <w:rFonts w:ascii="Times New Roman" w:hAnsi="Times New Roman" w:cs="Times New Roman"/>
          <w:sz w:val="24"/>
          <w:szCs w:val="24"/>
        </w:rPr>
        <w:t xml:space="preserve">Отправление автобусов осуществляется </w:t>
      </w:r>
      <w:r w:rsidR="001B7291" w:rsidRPr="001E68A8">
        <w:rPr>
          <w:rFonts w:ascii="Times New Roman" w:hAnsi="Times New Roman" w:cs="Times New Roman"/>
          <w:sz w:val="24"/>
          <w:szCs w:val="24"/>
        </w:rPr>
        <w:t xml:space="preserve">от магазина «Маяк» </w:t>
      </w:r>
      <w:r w:rsidR="0045054B" w:rsidRPr="001E68A8">
        <w:rPr>
          <w:rFonts w:ascii="Times New Roman" w:hAnsi="Times New Roman" w:cs="Times New Roman"/>
          <w:sz w:val="24"/>
          <w:szCs w:val="24"/>
        </w:rPr>
        <w:t>3</w:t>
      </w:r>
      <w:r w:rsidRPr="001E68A8">
        <w:rPr>
          <w:rFonts w:ascii="Times New Roman" w:hAnsi="Times New Roman" w:cs="Times New Roman"/>
          <w:sz w:val="24"/>
          <w:szCs w:val="24"/>
        </w:rPr>
        <w:t xml:space="preserve"> раз в день, что достаточно для удовлетворения текущих потребностей в перевозках.</w:t>
      </w:r>
    </w:p>
    <w:p w:rsidR="00956D81" w:rsidRPr="00956D81" w:rsidRDefault="00956D81" w:rsidP="0095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осуществляется перевозка на личном автотранспорте владельцев транспортных средств.</w:t>
      </w:r>
    </w:p>
    <w:p w:rsidR="00956D81" w:rsidRDefault="00956D81" w:rsidP="001B7291">
      <w:pPr>
        <w:spacing w:after="0"/>
        <w:jc w:val="both"/>
      </w:pPr>
    </w:p>
    <w:p w:rsidR="001B7291" w:rsidRPr="001B7291" w:rsidRDefault="001B7291" w:rsidP="001B7291">
      <w:pPr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sz w:val="24"/>
          <w:szCs w:val="24"/>
        </w:rPr>
        <w:t>Таблица 3 – Информация об основном перевозчике в сельском поселении Верхнеказымский</w:t>
      </w:r>
    </w:p>
    <w:tbl>
      <w:tblPr>
        <w:tblW w:w="5000" w:type="pct"/>
        <w:tblLook w:val="04A0"/>
      </w:tblPr>
      <w:tblGrid>
        <w:gridCol w:w="1761"/>
        <w:gridCol w:w="884"/>
        <w:gridCol w:w="1238"/>
        <w:gridCol w:w="1493"/>
        <w:gridCol w:w="1216"/>
        <w:gridCol w:w="1216"/>
        <w:gridCol w:w="1763"/>
      </w:tblGrid>
      <w:tr w:rsidR="00CA2249" w:rsidRPr="00956D81" w:rsidTr="00363FBF">
        <w:trPr>
          <w:trHeight w:val="33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Маршрут движения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Дни работы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Перевозчик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Расписание движения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A2249" w:rsidRPr="00E46305" w:rsidRDefault="00CA2249" w:rsidP="00CA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проезда</w:t>
            </w:r>
          </w:p>
        </w:tc>
      </w:tr>
      <w:tr w:rsidR="00CA2249" w:rsidRPr="00956D81" w:rsidTr="00E46305">
        <w:trPr>
          <w:trHeight w:val="492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49" w:rsidRPr="00956D81" w:rsidRDefault="00CA2249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49" w:rsidRPr="00956D81" w:rsidRDefault="00CA2249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49" w:rsidRPr="00956D81" w:rsidRDefault="00CA2249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49" w:rsidRPr="00956D81" w:rsidRDefault="00CA2249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пункт назначения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49" w:rsidRPr="00E46305" w:rsidRDefault="00CA2249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 пункта назначения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249" w:rsidRPr="00956D81" w:rsidRDefault="00CA2249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BF" w:rsidRPr="00956D81" w:rsidTr="00C008FD">
        <w:trPr>
          <w:trHeight w:val="525"/>
        </w:trPr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8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D8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-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D8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Верхнеказымский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1,2,3,4,5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D81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Попов И.Е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Iveco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6:30; 13:00; 17:00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8:30; 14:30; 18:30</w:t>
            </w:r>
          </w:p>
        </w:tc>
        <w:tc>
          <w:tcPr>
            <w:tcW w:w="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BF" w:rsidRPr="00956D81" w:rsidRDefault="00363FBF" w:rsidP="0036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6D8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Pr="00956D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63FBF" w:rsidRPr="00956D81" w:rsidTr="00363FBF">
        <w:trPr>
          <w:trHeight w:val="330"/>
        </w:trPr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6,7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8:00; 17:00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6D81">
              <w:rPr>
                <w:rFonts w:ascii="Times New Roman" w:eastAsia="Times New Roman" w:hAnsi="Times New Roman" w:cs="Times New Roman"/>
                <w:sz w:val="19"/>
                <w:szCs w:val="19"/>
              </w:rPr>
              <w:t>9:30; 18:30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BF" w:rsidRPr="00956D81" w:rsidRDefault="00363FBF" w:rsidP="0095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B7291" w:rsidRDefault="001B7291" w:rsidP="006E718E">
      <w:pPr>
        <w:pStyle w:val="S0"/>
      </w:pPr>
    </w:p>
    <w:p w:rsidR="006E718E" w:rsidRDefault="00AF5164" w:rsidP="006E718E">
      <w:pPr>
        <w:pStyle w:val="S0"/>
      </w:pPr>
      <w:r w:rsidRPr="00AF5164">
        <w:t>В поселке имеется два причала</w:t>
      </w:r>
      <w:r>
        <w:t xml:space="preserve"> для перевозки грузов</w:t>
      </w:r>
      <w:r w:rsidR="006E718E">
        <w:t>,</w:t>
      </w:r>
      <w:r w:rsidR="006E718E" w:rsidRPr="006E718E">
        <w:t xml:space="preserve"> </w:t>
      </w:r>
      <w:r w:rsidR="001B7291" w:rsidRPr="00C673D6">
        <w:t xml:space="preserve"> расположенных в северной части населенного пункта</w:t>
      </w:r>
      <w:r w:rsidR="001B7291">
        <w:t xml:space="preserve">, </w:t>
      </w:r>
      <w:r w:rsidR="006E718E">
        <w:t>и</w:t>
      </w:r>
      <w:r w:rsidR="006E718E" w:rsidRPr="00C673D6">
        <w:t>з объектов других видов транспорта, действующих на территории поселения, следует отметить вертолетную площадку, расположенную в южной части п.</w:t>
      </w:r>
      <w:r w:rsidR="006E718E">
        <w:t xml:space="preserve"> </w:t>
      </w:r>
      <w:r w:rsidR="006E718E" w:rsidRPr="00C673D6">
        <w:t>Верхнеказымского. Сообщение поселка с соседними населенными пунктами при помощи вертолетов осуществляется в течение всего года.</w:t>
      </w:r>
    </w:p>
    <w:p w:rsidR="006E718E" w:rsidRPr="00C673D6" w:rsidRDefault="006E718E" w:rsidP="006E718E">
      <w:pPr>
        <w:pStyle w:val="S0"/>
      </w:pPr>
      <w:r>
        <w:t xml:space="preserve">Вместе с тем отметим, что пассажиры в основном предпочитают пользоваться автомобильным транспортом по </w:t>
      </w:r>
      <w:r w:rsidRPr="00C673D6">
        <w:t>автомобильн</w:t>
      </w:r>
      <w:r>
        <w:t>ой</w:t>
      </w:r>
      <w:r w:rsidRPr="00C673D6">
        <w:t xml:space="preserve"> дорог</w:t>
      </w:r>
      <w:r>
        <w:t>е</w:t>
      </w:r>
      <w:r w:rsidRPr="00C673D6">
        <w:t xml:space="preserve"> межмуниципального значения «</w:t>
      </w:r>
      <w:proofErr w:type="spellStart"/>
      <w:r w:rsidRPr="00C673D6">
        <w:t>Андра</w:t>
      </w:r>
      <w:proofErr w:type="spellEnd"/>
      <w:r w:rsidRPr="00C673D6">
        <w:t xml:space="preserve"> - Белоярский - граница Ямало-Ненецкого автономного округа», подъезд к </w:t>
      </w:r>
      <w:r w:rsidR="002D3FEA">
        <w:t xml:space="preserve">                    </w:t>
      </w:r>
      <w:proofErr w:type="gramStart"/>
      <w:r w:rsidRPr="00C673D6">
        <w:t>г</w:t>
      </w:r>
      <w:proofErr w:type="gramEnd"/>
      <w:r w:rsidRPr="00C673D6">
        <w:t>. Белоярский с капитальным типом дорожной одежды</w:t>
      </w:r>
      <w:r>
        <w:t xml:space="preserve">, которая обеспечивает максимальную скорость доставки пассажиров при </w:t>
      </w:r>
      <w:r w:rsidR="00D91746">
        <w:t xml:space="preserve">одновременной </w:t>
      </w:r>
      <w:r>
        <w:t>оптимальной стоимости перевозки</w:t>
      </w:r>
      <w:r w:rsidR="004C07AC">
        <w:t>.</w:t>
      </w:r>
    </w:p>
    <w:p w:rsidR="00956D81" w:rsidRPr="00AF5164" w:rsidRDefault="00956D81" w:rsidP="00AF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18" w:rsidRDefault="00734A99" w:rsidP="00E46305">
      <w:pPr>
        <w:pStyle w:val="4"/>
        <w:spacing w:before="0" w:beforeAutospacing="0" w:after="0" w:afterAutospacing="0"/>
      </w:pPr>
      <w:bookmarkStart w:id="12" w:name="dst100043"/>
      <w:bookmarkEnd w:id="12"/>
      <w:r>
        <w:t>1.</w:t>
      </w:r>
      <w:r w:rsidRPr="00734A99">
        <w:t>6</w:t>
      </w:r>
      <w:r>
        <w:t xml:space="preserve">. </w:t>
      </w:r>
      <w:r w:rsidR="00C26FED">
        <w:t>Х</w:t>
      </w:r>
      <w:r w:rsidR="00430A18" w:rsidRPr="00430A18">
        <w:t>арактеристик</w:t>
      </w:r>
      <w:r w:rsidR="00BE5AE1">
        <w:t>а</w:t>
      </w:r>
      <w:r w:rsidR="00430A18" w:rsidRPr="00430A18">
        <w:t xml:space="preserve"> условий пешеходно</w:t>
      </w:r>
      <w:r w:rsidR="00BE5AE1">
        <w:t>го и велосипедного передвижения</w:t>
      </w:r>
    </w:p>
    <w:p w:rsidR="00E46305" w:rsidRDefault="00E46305" w:rsidP="00E46305">
      <w:pPr>
        <w:spacing w:after="0"/>
      </w:pPr>
    </w:p>
    <w:p w:rsidR="002D00F7" w:rsidRPr="00BE5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:rsidR="002D00F7" w:rsidRPr="00BE5AE1" w:rsidRDefault="001B729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1746">
        <w:rPr>
          <w:rFonts w:ascii="Times New Roman" w:hAnsi="Times New Roman" w:cs="Times New Roman"/>
          <w:sz w:val="24"/>
          <w:szCs w:val="24"/>
        </w:rPr>
        <w:t xml:space="preserve">анее 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была разработана Комплексная схема организации </w:t>
      </w:r>
      <w:proofErr w:type="gramStart"/>
      <w:r w:rsidR="002D00F7" w:rsidRPr="00BE5AE1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движения, были уточнены схема размещения дорожных знаков и разметка, что позволило создать достаточно комфортные условия для пешеходного движения.</w:t>
      </w:r>
    </w:p>
    <w:p w:rsidR="00E46305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</w:t>
      </w:r>
      <w:r w:rsidR="00903127">
        <w:rPr>
          <w:rFonts w:ascii="Times New Roman" w:hAnsi="Times New Roman" w:cs="Times New Roman"/>
          <w:sz w:val="24"/>
          <w:szCs w:val="24"/>
        </w:rPr>
        <w:t>населенном пункте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осуществляется велосипедное движение в местах общего пользования в неорганизованном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в ходе разработки вышеуказанной программы планируется организовать типовые велосипедные дорожки, места хранения велосипедов, пункты проката, дорожную разметку для развития и популяризации велосипедного движения у жителей.</w:t>
      </w:r>
    </w:p>
    <w:p w:rsidR="00E46305" w:rsidRDefault="00E4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8A8" w:rsidRPr="001E68A8" w:rsidRDefault="001E68A8" w:rsidP="001E68A8">
      <w:pPr>
        <w:pStyle w:val="1"/>
        <w:jc w:val="both"/>
        <w:rPr>
          <w:sz w:val="24"/>
          <w:szCs w:val="24"/>
        </w:rPr>
      </w:pPr>
      <w:bookmarkStart w:id="13" w:name="dst100044"/>
      <w:bookmarkStart w:id="14" w:name="dst100046"/>
      <w:bookmarkEnd w:id="13"/>
      <w:bookmarkEnd w:id="14"/>
      <w:r w:rsidRPr="009228F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7</w:t>
      </w:r>
      <w:r w:rsidRPr="009228F0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87661" w:rsidRP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>В основном обслуживанием автомобильных дорог, улично-дорожной сети, межрегиональных и областных дорог окружного значения на территории района осуществляет 10 филиал ОАО «</w:t>
      </w:r>
      <w:proofErr w:type="spellStart"/>
      <w:r w:rsidRPr="0018766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187661">
        <w:rPr>
          <w:rFonts w:ascii="Times New Roman" w:hAnsi="Times New Roman" w:cs="Times New Roman"/>
          <w:sz w:val="24"/>
          <w:szCs w:val="24"/>
        </w:rPr>
        <w:t>».</w:t>
      </w:r>
    </w:p>
    <w:p w:rsid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>Анализ парка и износа транспортных средств показывает, что техника находится в аварийном состоянии, соответственно программой предусматривается закупка техники за счет внебюджетных средств.</w:t>
      </w:r>
    </w:p>
    <w:p w:rsidR="001E68A8" w:rsidRPr="00E46305" w:rsidRDefault="007159D5" w:rsidP="007159D5">
      <w:pPr>
        <w:ind w:firstLine="709"/>
        <w:jc w:val="both"/>
        <w:rPr>
          <w:color w:val="FF0000"/>
        </w:rPr>
      </w:pPr>
      <w:bookmarkStart w:id="15" w:name="_GoBack"/>
      <w:r w:rsidRPr="007159D5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внутри поселения осуществляется силами Белоярское </w:t>
      </w:r>
      <w:proofErr w:type="spellStart"/>
      <w:r w:rsidRPr="007159D5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7159D5">
        <w:rPr>
          <w:rFonts w:ascii="Times New Roman" w:hAnsi="Times New Roman" w:cs="Times New Roman"/>
          <w:sz w:val="24"/>
          <w:szCs w:val="24"/>
        </w:rPr>
        <w:t xml:space="preserve"> - Белоярское управление технологического транспорта и специальной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1E68A8" w:rsidRDefault="001E68A8" w:rsidP="001E68A8">
      <w:pPr>
        <w:pStyle w:val="4"/>
        <w:spacing w:before="0" w:beforeAutospacing="0" w:after="0" w:afterAutospacing="0"/>
      </w:pPr>
      <w:r>
        <w:t>1.8. А</w:t>
      </w:r>
      <w:r w:rsidRPr="00430A18">
        <w:t xml:space="preserve">нализ уровня </w:t>
      </w:r>
      <w:r>
        <w:t>безопасности дорожного движения</w:t>
      </w:r>
    </w:p>
    <w:p w:rsid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68A8" w:rsidRP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А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нализ безопасности дорожного движения показывает, что в целом показатели </w:t>
      </w:r>
      <w:proofErr w:type="gramStart"/>
      <w:r w:rsidR="001E68A8" w:rsidRPr="00E46305">
        <w:rPr>
          <w:rFonts w:ascii="Times New Roman" w:hAnsi="Times New Roman" w:cs="Times New Roman"/>
          <w:sz w:val="24"/>
          <w:szCs w:val="24"/>
        </w:rPr>
        <w:t>невысоки в 2015 году совершено</w:t>
      </w:r>
      <w:proofErr w:type="gramEnd"/>
      <w:r w:rsidR="001E68A8" w:rsidRPr="00E46305">
        <w:rPr>
          <w:rFonts w:ascii="Times New Roman" w:hAnsi="Times New Roman" w:cs="Times New Roman"/>
          <w:sz w:val="24"/>
          <w:szCs w:val="24"/>
        </w:rPr>
        <w:t xml:space="preserve"> 2 ДТП, в 2014 году 1 ДТП.</w:t>
      </w:r>
    </w:p>
    <w:p w:rsidR="001E68A8" w:rsidRPr="00E46305" w:rsidRDefault="001E68A8" w:rsidP="001E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Вместе с тем разработчики программ предлагают дополнительные мероприятия по повышению безопасности дорожного движения: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1)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Pr="00E46305">
        <w:rPr>
          <w:rFonts w:ascii="Times New Roman" w:hAnsi="Times New Roman" w:cs="Times New Roman"/>
          <w:sz w:val="24"/>
          <w:szCs w:val="24"/>
        </w:rPr>
        <w:t>азвитие систем видеонаблюдение внутри поселения;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2)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у</w:t>
      </w:r>
      <w:r w:rsidRPr="00E46305">
        <w:rPr>
          <w:rFonts w:ascii="Times New Roman" w:hAnsi="Times New Roman" w:cs="Times New Roman"/>
          <w:sz w:val="24"/>
          <w:szCs w:val="24"/>
        </w:rPr>
        <w:t>становка светофоров по форме Т-7 в непосредственной близости от школ, социальных объектов;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3)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Pr="00E46305">
        <w:rPr>
          <w:rFonts w:ascii="Times New Roman" w:hAnsi="Times New Roman" w:cs="Times New Roman"/>
          <w:sz w:val="24"/>
          <w:szCs w:val="24"/>
        </w:rPr>
        <w:t xml:space="preserve">асширение систем </w:t>
      </w:r>
      <w:proofErr w:type="spellStart"/>
      <w:r w:rsidRPr="00E46305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46305">
        <w:rPr>
          <w:rFonts w:ascii="Times New Roman" w:hAnsi="Times New Roman" w:cs="Times New Roman"/>
          <w:sz w:val="24"/>
          <w:szCs w:val="24"/>
        </w:rPr>
        <w:t xml:space="preserve"> скоростного режима на автомобильной дороге связывающей поселение с городом </w:t>
      </w:r>
      <w:proofErr w:type="gramStart"/>
      <w:r w:rsidRPr="00E4630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E46305">
        <w:rPr>
          <w:rFonts w:ascii="Times New Roman" w:hAnsi="Times New Roman" w:cs="Times New Roman"/>
          <w:sz w:val="24"/>
          <w:szCs w:val="24"/>
        </w:rPr>
        <w:t>;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4)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Pr="00E46305">
        <w:rPr>
          <w:rFonts w:ascii="Times New Roman" w:hAnsi="Times New Roman" w:cs="Times New Roman"/>
          <w:sz w:val="24"/>
          <w:szCs w:val="24"/>
        </w:rPr>
        <w:t xml:space="preserve">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  </w:t>
      </w:r>
    </w:p>
    <w:p w:rsidR="00430A18" w:rsidRPr="00E46305" w:rsidRDefault="00734A99" w:rsidP="00E46305">
      <w:pPr>
        <w:pStyle w:val="4"/>
        <w:jc w:val="both"/>
      </w:pPr>
      <w:r w:rsidRPr="00E46305">
        <w:t>1.9.</w:t>
      </w:r>
      <w:r w:rsidR="00C26FED" w:rsidRPr="00E46305">
        <w:t xml:space="preserve"> О</w:t>
      </w:r>
      <w:r w:rsidR="00430A18" w:rsidRPr="00E46305">
        <w:t>ценк</w:t>
      </w:r>
      <w:r w:rsidR="00DD75B4" w:rsidRPr="00E46305">
        <w:t>а</w:t>
      </w:r>
      <w:r w:rsidR="00430A18" w:rsidRPr="00E46305">
        <w:t xml:space="preserve"> уровня негативного воздействия транспортной инфраструктуры на окружающую среду, бе</w:t>
      </w:r>
      <w:r w:rsidR="00DD75B4" w:rsidRPr="00E46305">
        <w:t>зопасность и здоровье населения</w:t>
      </w:r>
    </w:p>
    <w:p w:rsidR="00734A99" w:rsidRPr="00734A99" w:rsidRDefault="00734A99" w:rsidP="00734A99">
      <w:pPr>
        <w:pStyle w:val="ConsPlusNormal"/>
        <w:ind w:firstLine="708"/>
        <w:jc w:val="both"/>
        <w:rPr>
          <w:b w:val="0"/>
        </w:rPr>
      </w:pPr>
      <w:r w:rsidRPr="00734A99">
        <w:rPr>
          <w:b w:val="0"/>
        </w:rPr>
        <w:t xml:space="preserve">В рамках реализации муниципальной программы сельского поселения «Защита </w:t>
      </w:r>
      <w:r w:rsidRPr="00734A99">
        <w:rPr>
          <w:b w:val="0"/>
          <w:bCs w:val="0"/>
        </w:rPr>
        <w:t>населения от чрезвычайных ситуаций, обеспечение первичных мер пожарной безопасности и безопасности людей на водных объектах на 2014 - 2016 годы</w:t>
      </w:r>
      <w:r w:rsidRPr="00734A99">
        <w:rPr>
          <w:b w:val="0"/>
        </w:rPr>
        <w:t>» в 2015 году было закуплено необходимое оборудование и средства для ликвидации пожаров и чрезвычайных ситуаций.</w:t>
      </w:r>
    </w:p>
    <w:p w:rsidR="00734A99" w:rsidRPr="00734A99" w:rsidRDefault="00734A99" w:rsidP="00734A99">
      <w:pPr>
        <w:pStyle w:val="ConsPlusNormal"/>
        <w:ind w:firstLine="708"/>
        <w:jc w:val="both"/>
        <w:rPr>
          <w:b w:val="0"/>
        </w:rPr>
      </w:pPr>
      <w:r w:rsidRPr="00734A99">
        <w:rPr>
          <w:b w:val="0"/>
        </w:rPr>
        <w:t xml:space="preserve"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период. </w:t>
      </w:r>
    </w:p>
    <w:p w:rsidR="00734A99" w:rsidRPr="0045054B" w:rsidRDefault="00734A99" w:rsidP="00734A99">
      <w:pPr>
        <w:rPr>
          <w:highlight w:val="red"/>
        </w:rPr>
      </w:pPr>
    </w:p>
    <w:p w:rsidR="00430A18" w:rsidRDefault="00430A18" w:rsidP="00C26FED">
      <w:pPr>
        <w:pStyle w:val="4"/>
      </w:pPr>
      <w:bookmarkStart w:id="16" w:name="dst100047"/>
      <w:bookmarkEnd w:id="16"/>
      <w:r>
        <w:t>1.1</w:t>
      </w:r>
      <w:r w:rsidR="00734A99">
        <w:t>0.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 xml:space="preserve">ры </w:t>
      </w:r>
      <w:r w:rsidR="00BF6A8B">
        <w:t>сельского поселения</w:t>
      </w:r>
      <w:r w:rsidR="00BF0E73">
        <w:t xml:space="preserve"> Верхнеказымский</w:t>
      </w:r>
    </w:p>
    <w:p w:rsidR="003D6F4D" w:rsidRDefault="003D6F4D" w:rsidP="008840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1973">
        <w:rPr>
          <w:rFonts w:ascii="Times New Roman" w:eastAsia="Times New Roman" w:hAnsi="Times New Roman" w:cs="Times New Roman"/>
          <w:sz w:val="24"/>
          <w:szCs w:val="24"/>
        </w:rPr>
        <w:t>сельском поселении Верхнеказымский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определены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сновные планируемые зоны развития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ланируемые микрорайоны развития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ункты остановочных площадок, остановок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>озможные места парковок населения и расположения гаражей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>озможные направления развития улично-дорожной сети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еречень к реконструкции, сохранению и проектированию улиц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еречень к реконструкции, сохранению и проектированию проездов.</w:t>
      </w:r>
    </w:p>
    <w:p w:rsidR="003D6F4D" w:rsidRDefault="003D6F4D" w:rsidP="008840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Дополнительно в соответствии с 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2.07.01-89 разработчиком программы были рассчитаны планируемые места расположения велосипедных дорожек, парковок транспортных средств, схема организации дорожного движения, планируемые места расположения Транспортно-пересадочных узлов, планируемые места расположения остановок общественного транспорта. </w:t>
      </w:r>
    </w:p>
    <w:p w:rsidR="003D6F4D" w:rsidRPr="003D6F4D" w:rsidRDefault="003D6F4D" w:rsidP="008840D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 отображены на картографических материалах.</w:t>
      </w:r>
    </w:p>
    <w:p w:rsidR="008840D8" w:rsidRDefault="008840D8" w:rsidP="00E463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dst100048"/>
      <w:bookmarkEnd w:id="17"/>
    </w:p>
    <w:p w:rsidR="00430A18" w:rsidRDefault="00734A99" w:rsidP="00C26FED">
      <w:pPr>
        <w:pStyle w:val="4"/>
      </w:pPr>
      <w:r>
        <w:t>1.11.</w:t>
      </w:r>
      <w:r w:rsidR="00C26FED">
        <w:t xml:space="preserve"> О</w:t>
      </w:r>
      <w:r w:rsidR="00430A18" w:rsidRPr="00430A18">
        <w:t>ценк</w:t>
      </w:r>
      <w:r w:rsidR="00BF6A8B">
        <w:t>а</w:t>
      </w:r>
      <w:r w:rsidR="00430A18" w:rsidRPr="00430A18">
        <w:t xml:space="preserve"> нормативно-правовой базы, необходимой для функционирования и развития транспортной инфраструктуры поселения</w:t>
      </w:r>
    </w:p>
    <w:p w:rsidR="00795194" w:rsidRPr="002A437B" w:rsidRDefault="00795194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оценке нормативно-правовой базы необходимо исходить из того, что приняты и </w:t>
      </w:r>
      <w:proofErr w:type="gramStart"/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ряд</w:t>
      </w:r>
      <w:proofErr w:type="gramEnd"/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основополагающих документов для развития транспортной отрасли:</w:t>
      </w:r>
    </w:p>
    <w:p w:rsidR="00795194" w:rsidRPr="009F12BE" w:rsidRDefault="00795194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Транспортная стратегия </w:t>
      </w:r>
      <w:r w:rsid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 на период до 2030 года.  </w:t>
      </w:r>
    </w:p>
    <w:p w:rsidR="00795194" w:rsidRDefault="009F12B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распоряжения</w:t>
      </w:r>
      <w:r w:rsidR="00795194"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22.11.2008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1734-р (ред. от 11.06.2014) «</w:t>
      </w:r>
      <w:r w:rsidR="00795194"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Транспортной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Российской Федерации»;</w:t>
      </w:r>
    </w:p>
    <w:p w:rsidR="009F12BE" w:rsidRDefault="009F12B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Государственная программа Ханты-М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ансийского автономного округа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"Развитие транспортной системы ханты-мансийского автономного округа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2014 - 2020 годы" в редакции 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Правительства Югры от 22.11.2015 </w:t>
      </w:r>
      <w:hyperlink r:id="rId8" w:history="1">
        <w:r w:rsidRPr="009F12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427-п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12BE" w:rsidRDefault="009F12B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 Администрации Б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елоярского района </w:t>
      </w:r>
      <w:r w:rsidRPr="00DD2B14">
        <w:rPr>
          <w:szCs w:val="24"/>
        </w:rPr>
        <w:t xml:space="preserve">от </w:t>
      </w:r>
      <w:r>
        <w:rPr>
          <w:szCs w:val="24"/>
        </w:rPr>
        <w:t>09 декабря 2013 года</w:t>
      </w:r>
      <w:r w:rsidRPr="00DD2B14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             </w:t>
      </w:r>
      <w:r w:rsidRPr="00DD2B14">
        <w:rPr>
          <w:szCs w:val="24"/>
        </w:rPr>
        <w:t xml:space="preserve">№ 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муниципальной программы Белоярского района «Развитие транспортной системы Белоярского района на 2014-2020 годы»</w:t>
      </w:r>
      <w:r w:rsid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12BE" w:rsidRDefault="009F12B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A437B" w:rsidRPr="002A437B">
        <w:rPr>
          <w:rFonts w:ascii="Verdana" w:hAnsi="Verdana"/>
          <w:color w:val="052635"/>
          <w:sz w:val="21"/>
          <w:szCs w:val="21"/>
        </w:rPr>
        <w:t xml:space="preserve"> </w:t>
      </w:r>
      <w:hyperlink r:id="rId9" w:history="1">
        <w:r w:rsidR="002A437B" w:rsidRPr="002A43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Стратегия социально-экономического развития Белоярского района до 2020 года и на период до 2030 года</w:t>
        </w:r>
      </w:hyperlink>
      <w:r w:rsid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2BE" w:rsidRDefault="009F12B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коллегии Министерства Тран</w:t>
      </w:r>
      <w:r w:rsid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декабря 2015 года №4 в 2016 году требуется разработать стратегию развития «Транспортная стратегия Югра 2030», которая будет являться составной частью и практической реализацией стратегии Транспортная стратегия Российской Ф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на период до 2030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437B" w:rsidRDefault="002A437B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BF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план </w:t>
      </w:r>
      <w:r w:rsidR="00AE1973" w:rsidRPr="006436D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Верхнеказымский</w:t>
      </w:r>
      <w:r w:rsidRPr="0064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203</w:t>
      </w:r>
      <w:r w:rsidR="00AE1973" w:rsidRPr="006436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0E73" w:rsidRPr="001E68A8" w:rsidRDefault="002A437B" w:rsidP="00E46305">
      <w:pPr>
        <w:spacing w:after="0" w:line="288" w:lineRule="auto"/>
        <w:ind w:firstLine="709"/>
        <w:jc w:val="both"/>
        <w:rPr>
          <w:rStyle w:val="40"/>
          <w:rFonts w:eastAsiaTheme="minorHAnsi"/>
          <w:b w:val="0"/>
          <w:bCs w:val="0"/>
          <w:color w:val="000000"/>
        </w:rPr>
        <w:sectPr w:rsidR="00BF0E73" w:rsidRPr="001E68A8" w:rsidSect="00EA3D7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положений мероприятий, предлагаемых в данной программе возможно внесение изменений в части планировочн</w:t>
      </w:r>
      <w:r w:rsid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решений в новых микрорайонах</w:t>
      </w:r>
      <w:bookmarkStart w:id="18" w:name="dst100050"/>
      <w:bookmarkEnd w:id="18"/>
    </w:p>
    <w:p w:rsidR="001E68A8" w:rsidRPr="00430A18" w:rsidRDefault="001E68A8" w:rsidP="001E68A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lastRenderedPageBreak/>
        <w:t>2.</w:t>
      </w:r>
      <w:r w:rsidR="007861FD">
        <w:rPr>
          <w:rStyle w:val="40"/>
          <w:rFonts w:eastAsiaTheme="minorHAnsi"/>
        </w:rPr>
        <w:t xml:space="preserve"> </w:t>
      </w:r>
      <w:r w:rsidRPr="00430A18">
        <w:rPr>
          <w:rStyle w:val="40"/>
          <w:rFonts w:eastAsiaTheme="minorHAnsi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>
        <w:rPr>
          <w:rStyle w:val="40"/>
          <w:rFonts w:eastAsiaTheme="minorHAnsi"/>
        </w:rPr>
        <w:t>сельского поселения Верхнеказымский</w:t>
      </w:r>
    </w:p>
    <w:p w:rsidR="001E68A8" w:rsidRPr="002577B4" w:rsidRDefault="001E68A8" w:rsidP="00E46305">
      <w:pPr>
        <w:pStyle w:val="1"/>
        <w:rPr>
          <w:rStyle w:val="40"/>
          <w:rFonts w:eastAsiaTheme="minorHAnsi"/>
          <w:b/>
        </w:rPr>
      </w:pPr>
      <w:bookmarkStart w:id="19" w:name="dst100051"/>
      <w:bookmarkEnd w:id="19"/>
      <w:r w:rsidRPr="002577B4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1E68A8" w:rsidRPr="001E68A8" w:rsidRDefault="001E68A8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улично-дорожной сети</w:t>
      </w:r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8A8" w:rsidRDefault="001E68A8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соответствии с нормативами градостроительного проектирования рассчитаны в соответствии с СП 42.13330.2011 «Градостроительство.</w:t>
      </w:r>
      <w:proofErr w:type="gramEnd"/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и застройка городских и сельских поселений» актуализированная редакция </w:t>
      </w:r>
      <w:proofErr w:type="spellStart"/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1E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800 м от главного входа.</w:t>
      </w:r>
      <w:proofErr w:type="gramEnd"/>
    </w:p>
    <w:p w:rsidR="001E68A8" w:rsidRPr="00E46305" w:rsidRDefault="001E68A8" w:rsidP="001E68A8">
      <w:pPr>
        <w:pStyle w:val="4"/>
      </w:pPr>
      <w:r w:rsidRPr="00E46305">
        <w:t>2.2.</w:t>
      </w:r>
      <w:r w:rsidR="007861FD">
        <w:t xml:space="preserve"> </w:t>
      </w:r>
      <w:r w:rsidRPr="00E46305">
        <w:t>Прогноз транспортного спроса поселения, объемов и характера передвижения населения и перевозок грузов по видам транспорта</w:t>
      </w:r>
    </w:p>
    <w:p w:rsidR="001E68A8" w:rsidRPr="00E46305" w:rsidRDefault="001E68A8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построена 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1E68A8" w:rsidRPr="00E46305" w:rsidRDefault="00C57EF2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proofErr w:type="gramStart"/>
      <w:r w:rsidRPr="00E46305">
        <w:rPr>
          <w:color w:val="000000"/>
          <w:szCs w:val="24"/>
        </w:rPr>
        <w:t xml:space="preserve">Прогноз сценарных условий развития транспортного комплекса Белоярского района в разработан на основании сценарных условий, основных параметров прогноза социально–экономического развития Российской Федерации. </w:t>
      </w:r>
      <w:proofErr w:type="gramEnd"/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proofErr w:type="gramStart"/>
      <w:r w:rsidRPr="00E46305">
        <w:rPr>
          <w:color w:val="000000"/>
          <w:szCs w:val="24"/>
        </w:rPr>
        <w:t>При разработке сценариев развития транспортного комплекса Белоярского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  <w:proofErr w:type="gramEnd"/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E46305" w:rsidRDefault="001E68A8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1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 xml:space="preserve">(базовый). </w:t>
      </w:r>
      <w:r w:rsidRPr="00E46305">
        <w:rPr>
          <w:rFonts w:ascii="Times New Roman" w:hAnsi="Times New Roman"/>
          <w:bCs/>
          <w:sz w:val="24"/>
          <w:szCs w:val="24"/>
        </w:rPr>
        <w:t>В Белоярском районе</w:t>
      </w:r>
      <w:r w:rsidRPr="00E4630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20" w:name="dst100052"/>
      <w:bookmarkEnd w:id="20"/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 w:rsidRPr="00E46305">
        <w:rPr>
          <w:rFonts w:ascii="Times New Roman" w:hAnsi="Times New Roman"/>
          <w:sz w:val="24"/>
          <w:szCs w:val="24"/>
        </w:rPr>
        <w:t>санкционной</w:t>
      </w:r>
      <w:proofErr w:type="spellEnd"/>
      <w:r w:rsidRPr="00E46305">
        <w:rPr>
          <w:rFonts w:ascii="Times New Roman" w:hAnsi="Times New Roman"/>
          <w:sz w:val="24"/>
          <w:szCs w:val="24"/>
        </w:rPr>
        <w:t xml:space="preserve"> политике Европейского союза.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2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(умеренно-оптимистичный).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Белоярского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</w:t>
      </w:r>
      <w:r w:rsidRPr="00E46305">
        <w:rPr>
          <w:rFonts w:ascii="Times New Roman" w:hAnsi="Times New Roman"/>
          <w:sz w:val="24"/>
          <w:szCs w:val="24"/>
        </w:rPr>
        <w:lastRenderedPageBreak/>
        <w:t xml:space="preserve">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717745" w:rsidRPr="00E46305" w:rsidRDefault="00717745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дальнейшие инвестиции предприятий нефтедобывающего комплекса в разработку новых месторождений.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3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(экономически обоснованный).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Белоярского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D328BD" w:rsidRPr="00E46305" w:rsidRDefault="0071774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строительство мостового перехода через реку Обь в Октябрьском районе, предполагает комплексную реализацию основных мероприятий по развитию улично-дорожной сети в городском поселении Белоярском, предполагает рост транспортной инфраструктуры опережающими темпами, развитие кварталов перс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пективной застройки, расширение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жилищного строительства, развитие инфраструктуры пассажирских перевозок.</w:t>
      </w:r>
    </w:p>
    <w:p w:rsidR="00D328BD" w:rsidRPr="0045054B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B02E0" w:rsidRPr="00E46305" w:rsidRDefault="00FB477E" w:rsidP="00E46305">
      <w:pPr>
        <w:pStyle w:val="S0"/>
        <w:ind w:firstLine="0"/>
      </w:pPr>
      <w:r w:rsidRPr="00E46305">
        <w:t xml:space="preserve">Таблица </w:t>
      </w:r>
      <w:r w:rsidR="00E46305" w:rsidRPr="00E46305">
        <w:t>4</w:t>
      </w:r>
      <w:r w:rsidRPr="00E46305">
        <w:t xml:space="preserve"> - </w:t>
      </w:r>
      <w:r w:rsidR="007B02E0" w:rsidRPr="00E46305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E46305" w:rsidRPr="00E46305">
        <w:t>3</w:t>
      </w:r>
      <w:r w:rsidR="007B02E0" w:rsidRPr="00E46305">
        <w:t>0 года</w:t>
      </w:r>
    </w:p>
    <w:tbl>
      <w:tblPr>
        <w:tblW w:w="5000" w:type="pct"/>
        <w:jc w:val="center"/>
        <w:tblLook w:val="04A0"/>
      </w:tblPr>
      <w:tblGrid>
        <w:gridCol w:w="1800"/>
        <w:gridCol w:w="972"/>
        <w:gridCol w:w="972"/>
        <w:gridCol w:w="972"/>
        <w:gridCol w:w="972"/>
        <w:gridCol w:w="972"/>
        <w:gridCol w:w="972"/>
        <w:gridCol w:w="972"/>
        <w:gridCol w:w="967"/>
      </w:tblGrid>
      <w:tr w:rsidR="00E46305" w:rsidRPr="00E46305" w:rsidTr="00E46305">
        <w:trPr>
          <w:trHeight w:val="300"/>
          <w:tblHeader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</w:tr>
      <w:tr w:rsidR="00E46305" w:rsidRPr="00E46305" w:rsidTr="00E46305">
        <w:trPr>
          <w:trHeight w:val="300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305" w:rsidRPr="00E46305" w:rsidTr="00E46305">
        <w:trPr>
          <w:trHeight w:val="6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маршрутов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6305" w:rsidRPr="00E46305" w:rsidTr="00E46305">
        <w:trPr>
          <w:trHeight w:val="450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305" w:rsidRPr="00E46305" w:rsidTr="00E46305">
        <w:trPr>
          <w:trHeight w:val="6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нерегулируемым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6305" w:rsidRPr="00E46305" w:rsidTr="00E46305">
        <w:trPr>
          <w:trHeight w:val="6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муниципальных маршрутов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46305" w:rsidRPr="00E46305" w:rsidTr="00E46305">
        <w:trPr>
          <w:trHeight w:val="450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305" w:rsidRPr="00E46305" w:rsidTr="00E46305">
        <w:trPr>
          <w:trHeight w:val="6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46305" w:rsidRPr="00E46305" w:rsidTr="00E46305">
        <w:trPr>
          <w:trHeight w:val="112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6305" w:rsidRPr="00E46305" w:rsidTr="00E46305">
        <w:trPr>
          <w:trHeight w:val="6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выполненных рейсов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13 870</w:t>
            </w:r>
          </w:p>
        </w:tc>
      </w:tr>
      <w:tr w:rsidR="00E46305" w:rsidRPr="00E46305" w:rsidTr="00E46305">
        <w:trPr>
          <w:trHeight w:val="1350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Потенциальное Количество перевезенных пассажиров, транспортный </w:t>
            </w: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спрос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249 660</w:t>
            </w:r>
          </w:p>
        </w:tc>
      </w:tr>
      <w:tr w:rsidR="00E46305" w:rsidRPr="00E46305" w:rsidTr="00E46305">
        <w:trPr>
          <w:trHeight w:val="900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Пассажирооборот, расчетный по транспортному спросу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22 220</w:t>
            </w:r>
          </w:p>
        </w:tc>
      </w:tr>
      <w:tr w:rsidR="00E46305" w:rsidRPr="00E46305" w:rsidTr="00E46305">
        <w:trPr>
          <w:trHeight w:val="1575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92 125</w:t>
            </w:r>
          </w:p>
        </w:tc>
      </w:tr>
      <w:tr w:rsidR="00E46305" w:rsidRPr="00E46305" w:rsidTr="00E46305">
        <w:trPr>
          <w:trHeight w:val="450"/>
          <w:jc w:val="center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Пассажирооборот, по исследованию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05" w:rsidRPr="00E46305" w:rsidRDefault="00E4630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8 199</w:t>
            </w:r>
          </w:p>
        </w:tc>
      </w:tr>
    </w:tbl>
    <w:p w:rsidR="007B02E0" w:rsidRPr="0045054B" w:rsidRDefault="007B02E0" w:rsidP="007B02E0">
      <w:pPr>
        <w:pStyle w:val="S0"/>
        <w:rPr>
          <w:highlight w:val="red"/>
        </w:rPr>
      </w:pPr>
    </w:p>
    <w:p w:rsidR="00430A18" w:rsidRPr="00C008FD" w:rsidRDefault="00430A18" w:rsidP="00F301C4">
      <w:pPr>
        <w:pStyle w:val="4"/>
      </w:pPr>
      <w:bookmarkStart w:id="21" w:name="dst100053"/>
      <w:bookmarkEnd w:id="21"/>
      <w:r w:rsidRPr="00C008FD">
        <w:t>2.3</w:t>
      </w:r>
      <w:r w:rsidR="00F301C4" w:rsidRPr="00C008FD">
        <w:t>.</w:t>
      </w:r>
      <w:r w:rsidRPr="00C008FD">
        <w:t xml:space="preserve"> </w:t>
      </w:r>
      <w:r w:rsidR="00F301C4" w:rsidRPr="00C008FD">
        <w:t>П</w:t>
      </w:r>
      <w:r w:rsidRPr="00C008FD">
        <w:t>рогноз развития транспортной инф</w:t>
      </w:r>
      <w:r w:rsidR="00E07DDD" w:rsidRPr="00C008FD">
        <w:t>раструктуры по видам транспорта</w:t>
      </w:r>
    </w:p>
    <w:p w:rsidR="00E46305" w:rsidRPr="00E46305" w:rsidRDefault="00E46305" w:rsidP="00E46305">
      <w:pPr>
        <w:spacing w:after="0"/>
        <w:rPr>
          <w:rFonts w:ascii="Times New Roman" w:hAnsi="Times New Roman" w:cs="Times New Roman"/>
          <w:highlight w:val="red"/>
        </w:rPr>
      </w:pPr>
      <w:r w:rsidRPr="00E46305">
        <w:rPr>
          <w:rFonts w:ascii="Times New Roman" w:hAnsi="Times New Roman" w:cs="Times New Roman"/>
        </w:rPr>
        <w:t xml:space="preserve">Таблица </w:t>
      </w:r>
      <w:r w:rsidR="00C008FD">
        <w:rPr>
          <w:rFonts w:ascii="Times New Roman" w:hAnsi="Times New Roman" w:cs="Times New Roman"/>
        </w:rPr>
        <w:t>5</w:t>
      </w:r>
      <w:r w:rsidRPr="00E46305">
        <w:rPr>
          <w:rFonts w:ascii="Times New Roman" w:hAnsi="Times New Roman" w:cs="Times New Roman"/>
        </w:rPr>
        <w:t xml:space="preserve"> – Прогнозные значения развития транспортной инфраструктуры до 2030 года</w:t>
      </w:r>
    </w:p>
    <w:tbl>
      <w:tblPr>
        <w:tblW w:w="4927" w:type="pct"/>
        <w:tblLayout w:type="fixed"/>
        <w:tblLook w:val="04A0"/>
      </w:tblPr>
      <w:tblGrid>
        <w:gridCol w:w="2900"/>
        <w:gridCol w:w="726"/>
        <w:gridCol w:w="726"/>
        <w:gridCol w:w="724"/>
        <w:gridCol w:w="1017"/>
        <w:gridCol w:w="871"/>
        <w:gridCol w:w="724"/>
        <w:gridCol w:w="873"/>
        <w:gridCol w:w="870"/>
      </w:tblGrid>
      <w:tr w:rsidR="00E46305" w:rsidRPr="00E46305" w:rsidTr="00E46305">
        <w:trPr>
          <w:trHeight w:val="20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E46305" w:rsidRPr="00E46305" w:rsidTr="00E46305">
        <w:trPr>
          <w:trHeight w:val="10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Объем пассажирских перевозок автомобильным, воздушным, водным транспортом в межмуниципальном и пригородном сообщении</w:t>
            </w:r>
            <w:proofErr w:type="gramStart"/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92 125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93 545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93 545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Число новых пешеходных дорожек, тротуаров соответствующих нормативным требованиям для организации пешеходного движения, </w:t>
            </w:r>
            <w:proofErr w:type="gramStart"/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9,5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Велосипедное движение, число велодорожек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остановочных павильонов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Авиационный транспорт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</w:t>
            </w: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исло вертолетных площадок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46305" w:rsidRPr="00E46305" w:rsidTr="00E46305">
        <w:trPr>
          <w:trHeight w:val="20"/>
        </w:trPr>
        <w:tc>
          <w:tcPr>
            <w:tcW w:w="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Водный транспорт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портов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46305" w:rsidRPr="00E46305" w:rsidTr="00E46305">
        <w:trPr>
          <w:trHeight w:val="2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05" w:rsidRPr="00E46305" w:rsidRDefault="00E4630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05" w:rsidRPr="00E46305" w:rsidRDefault="00E4630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E46305" w:rsidRPr="0045054B" w:rsidRDefault="00E46305" w:rsidP="00E46305">
      <w:pPr>
        <w:rPr>
          <w:highlight w:val="red"/>
        </w:rPr>
      </w:pPr>
    </w:p>
    <w:p w:rsidR="00F301C4" w:rsidRPr="00E46305" w:rsidRDefault="00F301C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построении прогноза по видам транспорта использовались данные генерального плана </w:t>
      </w:r>
      <w:r w:rsidR="006436DC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Верхнеказымский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расчеты разработчиков программы</w:t>
      </w:r>
      <w:r w:rsidR="00BC5722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A18" w:rsidRPr="00C008FD" w:rsidRDefault="00F301C4" w:rsidP="00F301C4">
      <w:pPr>
        <w:pStyle w:val="4"/>
      </w:pPr>
      <w:r w:rsidRPr="00C008FD">
        <w:t>2.4.</w:t>
      </w:r>
      <w:r w:rsidR="007861FD">
        <w:t xml:space="preserve"> </w:t>
      </w:r>
      <w:r w:rsidRPr="00C008FD">
        <w:t>П</w:t>
      </w:r>
      <w:r w:rsidR="00430A18" w:rsidRPr="00C008FD">
        <w:t>рогноз развития дорожной се</w:t>
      </w:r>
      <w:r w:rsidRPr="00C008FD">
        <w:t xml:space="preserve">ти </w:t>
      </w:r>
    </w:p>
    <w:p w:rsidR="00E07DDD" w:rsidRPr="00C008FD" w:rsidRDefault="00E07DDD" w:rsidP="001D13B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участки автомобильных дорог местного значения, особенно в черте города,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дорог.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Белоярского района, обеспечения возрастающей потребности населения района в мобильности, транспортной доступности автомобильных маршрутов.</w:t>
      </w:r>
    </w:p>
    <w:p w:rsidR="00E07DDD" w:rsidRPr="00C008FD" w:rsidRDefault="00E07DDD" w:rsidP="00C008FD">
      <w:pPr>
        <w:spacing w:after="0"/>
      </w:pPr>
    </w:p>
    <w:p w:rsidR="00711604" w:rsidRPr="00C008FD" w:rsidRDefault="00BF0E73" w:rsidP="00C008F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C008FD"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Прогноз развития дорожной сети в сельском поселении Верхнеказымский до 2030 года</w:t>
      </w:r>
    </w:p>
    <w:tbl>
      <w:tblPr>
        <w:tblW w:w="0" w:type="auto"/>
        <w:jc w:val="center"/>
        <w:tblLook w:val="04A0"/>
      </w:tblPr>
      <w:tblGrid>
        <w:gridCol w:w="3104"/>
        <w:gridCol w:w="756"/>
        <w:gridCol w:w="756"/>
        <w:gridCol w:w="756"/>
        <w:gridCol w:w="756"/>
        <w:gridCol w:w="756"/>
        <w:gridCol w:w="756"/>
        <w:gridCol w:w="756"/>
        <w:gridCol w:w="876"/>
      </w:tblGrid>
      <w:tr w:rsidR="00C008FD" w:rsidRPr="00C008FD" w:rsidTr="00C008F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</w:p>
        </w:tc>
      </w:tr>
      <w:tr w:rsidR="00C008FD" w:rsidRPr="00C008FD" w:rsidTr="00C008F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</w:tr>
      <w:tr w:rsidR="00C008FD" w:rsidRPr="00C008FD" w:rsidTr="00C008F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</w:tr>
      <w:tr w:rsidR="00C008FD" w:rsidRPr="00C008FD" w:rsidTr="00C008F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85,254</w:t>
            </w:r>
          </w:p>
        </w:tc>
      </w:tr>
    </w:tbl>
    <w:p w:rsidR="00BC5722" w:rsidRPr="002576B9" w:rsidRDefault="00BC572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430A18" w:rsidP="00C008FD">
      <w:pPr>
        <w:pStyle w:val="4"/>
      </w:pPr>
      <w:bookmarkStart w:id="22" w:name="dst100055"/>
      <w:bookmarkEnd w:id="22"/>
      <w:r w:rsidRPr="00C008FD">
        <w:t>2.5</w:t>
      </w:r>
      <w:r w:rsidR="00BC5722" w:rsidRPr="00C008FD">
        <w:t>.</w:t>
      </w:r>
      <w:r w:rsidR="007861FD">
        <w:t xml:space="preserve"> </w:t>
      </w:r>
      <w:r w:rsidR="00BC5722" w:rsidRPr="00C008FD">
        <w:t>П</w:t>
      </w:r>
      <w:r w:rsidRPr="00C008FD">
        <w:t>рогноз уровня автомобилизации</w:t>
      </w:r>
      <w:r w:rsidR="00FB477E" w:rsidRPr="00C008FD">
        <w:t>, параметров дорожного движения</w:t>
      </w:r>
    </w:p>
    <w:p w:rsidR="005C5CF3" w:rsidRPr="00C008FD" w:rsidRDefault="005C5CF3" w:rsidP="00C008FD">
      <w:pPr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08FD" w:rsidRPr="00C008FD">
        <w:rPr>
          <w:rFonts w:ascii="Times New Roman" w:hAnsi="Times New Roman" w:cs="Times New Roman"/>
          <w:sz w:val="24"/>
          <w:szCs w:val="24"/>
        </w:rPr>
        <w:t>7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в сельском поселении Верхнеказымский до 2030 года</w:t>
      </w:r>
    </w:p>
    <w:tbl>
      <w:tblPr>
        <w:tblW w:w="8784" w:type="dxa"/>
        <w:tblLook w:val="04A0"/>
      </w:tblPr>
      <w:tblGrid>
        <w:gridCol w:w="1555"/>
        <w:gridCol w:w="708"/>
        <w:gridCol w:w="993"/>
        <w:gridCol w:w="850"/>
        <w:gridCol w:w="851"/>
        <w:gridCol w:w="992"/>
        <w:gridCol w:w="992"/>
        <w:gridCol w:w="992"/>
        <w:gridCol w:w="851"/>
      </w:tblGrid>
      <w:tr w:rsidR="00A26C03" w:rsidRPr="00C008FD" w:rsidTr="00C008F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</w:tr>
      <w:tr w:rsidR="00A26C03" w:rsidRPr="00C008FD" w:rsidTr="00C008F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A26C03" w:rsidRPr="00C008FD" w:rsidTr="00C008F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A26C03" w:rsidRPr="00C008FD" w:rsidTr="00C008F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3" w:rsidRPr="00C008FD" w:rsidRDefault="00A26C0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</w:tbl>
    <w:p w:rsidR="00711604" w:rsidRPr="002576B9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C008FD" w:rsidRDefault="00430A18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dst100056"/>
      <w:bookmarkEnd w:id="23"/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C5722"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  <w:r w:rsidR="00BF0E73"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CF3" w:rsidRPr="00C008FD" w:rsidRDefault="005C5CF3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604" w:rsidRPr="00C008FD" w:rsidRDefault="001D13BF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показатель подлежит планированию в целом по району.</w:t>
      </w:r>
    </w:p>
    <w:p w:rsidR="00C008FD" w:rsidRDefault="00C008FD" w:rsidP="005C5CF3">
      <w:pPr>
        <w:rPr>
          <w:rFonts w:ascii="Times New Roman" w:hAnsi="Times New Roman" w:cs="Times New Roman"/>
        </w:rPr>
      </w:pPr>
    </w:p>
    <w:p w:rsidR="005C5CF3" w:rsidRPr="00C008FD" w:rsidRDefault="005C5CF3" w:rsidP="00C57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08FD" w:rsidRPr="00C008FD">
        <w:rPr>
          <w:rFonts w:ascii="Times New Roman" w:hAnsi="Times New Roman" w:cs="Times New Roman"/>
          <w:sz w:val="24"/>
          <w:szCs w:val="24"/>
        </w:rPr>
        <w:t>8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показателей безопасности дорожного движения в сельском поселении Верхнеказымский до 2030 года</w:t>
      </w:r>
    </w:p>
    <w:tbl>
      <w:tblPr>
        <w:tblW w:w="5000" w:type="pct"/>
        <w:tblLook w:val="04A0"/>
      </w:tblPr>
      <w:tblGrid>
        <w:gridCol w:w="3284"/>
        <w:gridCol w:w="786"/>
        <w:gridCol w:w="786"/>
        <w:gridCol w:w="787"/>
        <w:gridCol w:w="787"/>
        <w:gridCol w:w="787"/>
        <w:gridCol w:w="787"/>
        <w:gridCol w:w="787"/>
        <w:gridCol w:w="780"/>
      </w:tblGrid>
      <w:tr w:rsidR="00C008FD" w:rsidRPr="00C008FD" w:rsidTr="00C008FD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C008FD" w:rsidRPr="00C008FD" w:rsidTr="00C008FD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</w:rPr>
              <w:t>Число зарегистрированных ДТП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57EF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57EF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C57EF2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EF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27DB4" w:rsidRPr="002576B9" w:rsidRDefault="00827DB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C008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A437B" w:rsidRPr="0066490B" w:rsidRDefault="00430A18" w:rsidP="00BB2664">
      <w:pPr>
        <w:pStyle w:val="4"/>
        <w:rPr>
          <w:rStyle w:val="40"/>
          <w:rFonts w:eastAsiaTheme="minorHAnsi"/>
          <w:b/>
          <w:bCs/>
        </w:rPr>
      </w:pPr>
      <w:bookmarkStart w:id="24" w:name="dst100058"/>
      <w:bookmarkEnd w:id="24"/>
      <w:r w:rsidRPr="0066490B">
        <w:rPr>
          <w:rStyle w:val="40"/>
          <w:rFonts w:eastAsiaTheme="minorHAnsi"/>
          <w:b/>
          <w:bCs/>
        </w:rPr>
        <w:lastRenderedPageBreak/>
        <w:t>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B2664" w:rsidRPr="0045054B" w:rsidRDefault="002A437B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 xml:space="preserve">По итогам анализа </w:t>
      </w:r>
      <w:r w:rsidR="00BB2664" w:rsidRPr="0045054B">
        <w:rPr>
          <w:rStyle w:val="40"/>
          <w:rFonts w:eastAsiaTheme="minorHAnsi"/>
          <w:b w:val="0"/>
        </w:rPr>
        <w:t xml:space="preserve">и моделирования </w:t>
      </w:r>
      <w:r w:rsidRPr="0045054B">
        <w:rPr>
          <w:rStyle w:val="40"/>
          <w:rFonts w:eastAsiaTheme="minorHAnsi"/>
          <w:b w:val="0"/>
        </w:rPr>
        <w:t xml:space="preserve">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 гарантирующим </w:t>
      </w:r>
      <w:r w:rsidR="00C008FD" w:rsidRPr="0045054B">
        <w:rPr>
          <w:rStyle w:val="40"/>
          <w:rFonts w:eastAsiaTheme="minorHAnsi"/>
          <w:b w:val="0"/>
        </w:rPr>
        <w:t>максимальное удовлетворение потребностей населения,</w:t>
      </w:r>
      <w:r w:rsidRPr="0045054B">
        <w:rPr>
          <w:rStyle w:val="40"/>
          <w:rFonts w:eastAsiaTheme="minorHAnsi"/>
          <w:b w:val="0"/>
        </w:rPr>
        <w:t xml:space="preserve"> является Вариант 3.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430A18" w:rsidRPr="007E177B" w:rsidRDefault="00430A18" w:rsidP="00E07DDD">
      <w:pPr>
        <w:pStyle w:val="1"/>
        <w:jc w:val="both"/>
        <w:rPr>
          <w:b w:val="0"/>
          <w:color w:val="000000"/>
          <w:sz w:val="24"/>
          <w:szCs w:val="24"/>
        </w:rPr>
      </w:pPr>
      <w:bookmarkStart w:id="25" w:name="dst100059"/>
      <w:bookmarkEnd w:id="25"/>
      <w:r w:rsidRPr="007E177B">
        <w:rPr>
          <w:rStyle w:val="40"/>
          <w:rFonts w:eastAsiaTheme="minorHAnsi"/>
          <w:b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E177B">
        <w:rPr>
          <w:b w:val="0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3997"/>
        <w:gridCol w:w="1230"/>
        <w:gridCol w:w="1077"/>
        <w:gridCol w:w="1279"/>
        <w:gridCol w:w="956"/>
        <w:gridCol w:w="1032"/>
      </w:tblGrid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6" w:name="dst100060"/>
            <w:bookmarkStart w:id="27" w:name="dst100066"/>
            <w:bookmarkStart w:id="28" w:name="dst100067"/>
            <w:bookmarkStart w:id="29" w:name="dst100068"/>
            <w:bookmarkEnd w:id="26"/>
            <w:bookmarkEnd w:id="27"/>
            <w:bookmarkEnd w:id="28"/>
            <w:bookmarkEnd w:id="29"/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Речной транспорт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 w:rsidR="002D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береговой инфраструктуры создание 3 причалов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8A0AC5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2D3FEA" w:rsidRPr="00C008FD" w:rsidTr="008A0AC5">
        <w:trPr>
          <w:trHeight w:val="300"/>
        </w:trPr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A0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C008FD" w:rsidRPr="003F408E" w:rsidTr="008A0AC5">
        <w:trPr>
          <w:trHeight w:val="300"/>
        </w:trPr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8A0AC5" w:rsidRPr="003F408E" w:rsidTr="008A0AC5">
        <w:trPr>
          <w:trHeight w:val="300"/>
        </w:trPr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C008FD" w:rsidRPr="003F408E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парковочного пространства, 370 мест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008FD" w:rsidRPr="003F408E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008FD" w:rsidRPr="003F408E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408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8A0AC5" w:rsidRPr="00C008FD" w:rsidTr="008A0AC5">
        <w:trPr>
          <w:trHeight w:val="300"/>
        </w:trPr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 велодорожек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велодорожек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ограждений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7861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3F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8A0AC5" w:rsidRPr="00C008FD" w:rsidTr="008A0AC5">
        <w:trPr>
          <w:trHeight w:val="300"/>
        </w:trPr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8FD" w:rsidRPr="00C008FD" w:rsidTr="008A0AC5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АЗС-2 </w:t>
            </w:r>
            <w:proofErr w:type="spellStart"/>
            <w:proofErr w:type="gramStart"/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F408E" w:rsidRPr="003F408E" w:rsidRDefault="003F408E">
      <w:pPr>
        <w:rPr>
          <w:rFonts w:ascii="Times New Roman" w:hAnsi="Times New Roman" w:cs="Times New Roman"/>
          <w:b/>
          <w:sz w:val="24"/>
          <w:szCs w:val="24"/>
        </w:rPr>
      </w:pPr>
      <w:r w:rsidRPr="003F408E">
        <w:rPr>
          <w:rFonts w:ascii="Times New Roman" w:hAnsi="Times New Roman" w:cs="Times New Roman"/>
          <w:b/>
          <w:sz w:val="24"/>
          <w:szCs w:val="24"/>
        </w:rPr>
        <w:t>4.6.</w:t>
      </w:r>
      <w:r w:rsidR="0078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8E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114"/>
        <w:gridCol w:w="1146"/>
        <w:gridCol w:w="1424"/>
        <w:gridCol w:w="1048"/>
        <w:gridCol w:w="908"/>
        <w:gridCol w:w="1098"/>
        <w:gridCol w:w="797"/>
        <w:gridCol w:w="743"/>
      </w:tblGrid>
      <w:tr w:rsidR="00C008FD" w:rsidRPr="00C008FD" w:rsidTr="00C57EF2">
        <w:trPr>
          <w:trHeight w:val="20"/>
        </w:trPr>
        <w:tc>
          <w:tcPr>
            <w:tcW w:w="684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Протяженность километров</w:t>
            </w:r>
          </w:p>
        </w:tc>
        <w:tc>
          <w:tcPr>
            <w:tcW w:w="753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Местоположение дороги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813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3F408E" w:rsidRPr="00C008FD" w:rsidTr="003F408E">
        <w:trPr>
          <w:trHeight w:val="20"/>
        </w:trPr>
        <w:tc>
          <w:tcPr>
            <w:tcW w:w="634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2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юдж</w:t>
            </w:r>
            <w:r w:rsidR="00C841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616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461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43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C57EF2" w:rsidRPr="00C008FD" w:rsidTr="00C57EF2">
        <w:trPr>
          <w:trHeight w:val="20"/>
        </w:trPr>
        <w:tc>
          <w:tcPr>
            <w:tcW w:w="63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 1микрорайона</w:t>
            </w:r>
          </w:p>
        </w:tc>
        <w:tc>
          <w:tcPr>
            <w:tcW w:w="548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56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698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92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2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3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4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5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подъезд к п. Верхнеказымскому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подъезд к ВПП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1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0,574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2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3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0,739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4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0,874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5 микрорайона</w:t>
            </w:r>
          </w:p>
        </w:tc>
        <w:tc>
          <w:tcPr>
            <w:tcW w:w="590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0,941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pct"/>
            <w:shd w:val="clear" w:color="auto" w:fill="auto"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Югорск - Советский - Верхний Казым - Надым (до границы ХМАО) на участке </w:t>
            </w:r>
            <w:proofErr w:type="spellStart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Андра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Верхний </w:t>
            </w:r>
            <w:proofErr w:type="spellStart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Казым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Надым (до границы ХМАО), участок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434 - км 528. Участок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475 (Сосновка) - км 489 (от поворота на Сорум)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422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Югорск - г. Советский - п. Верхнеказымский, участок км 475 (п. Сосновка) - граница Ханты-Мансийского автономного округа - Югры (ПИР)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Проектируемый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53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н.п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ерхнеказымский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2016-2019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422" w:type="pct"/>
            <w:shd w:val="clear" w:color="auto" w:fill="auto"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C008FD" w:rsidTr="00C57EF2">
        <w:trPr>
          <w:trHeight w:val="20"/>
        </w:trPr>
        <w:tc>
          <w:tcPr>
            <w:tcW w:w="684" w:type="pct"/>
            <w:shd w:val="clear" w:color="auto" w:fill="auto"/>
            <w:hideMark/>
          </w:tcPr>
          <w:p w:rsidR="00C57EF2" w:rsidRPr="003F408E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57EF2" w:rsidRPr="003F408E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C57EF2" w:rsidRPr="003F408E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85,254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8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8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8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C57EF2" w:rsidRPr="00C008FD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8FD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F408E" w:rsidRPr="003F408E" w:rsidRDefault="003F408E">
      <w:pPr>
        <w:rPr>
          <w:b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КСОДД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светофоров Т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школы-1шт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отбойников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 контроля скорости движения, систем </w:t>
            </w:r>
            <w:proofErr w:type="spellStart"/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A3D77" w:rsidRDefault="00EA3D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08E" w:rsidRPr="00EA3D77" w:rsidRDefault="00EA3D77">
      <w:pPr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4.8.Мероприятия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датчика на остановочном пункте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A3D77" w:rsidRDefault="00EA3D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08E" w:rsidRPr="00EA3D77" w:rsidRDefault="00EA3D77" w:rsidP="00EA3D77">
      <w:pPr>
        <w:spacing w:after="0" w:line="240" w:lineRule="auto"/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4.9.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A3D77" w:rsidRDefault="00EA3D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4.10. Мероприятия по мониторингу и </w:t>
      </w:r>
      <w:proofErr w:type="gramStart"/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1496"/>
        <w:gridCol w:w="1094"/>
        <w:gridCol w:w="1573"/>
        <w:gridCol w:w="1110"/>
        <w:gridCol w:w="1028"/>
      </w:tblGrid>
      <w:tr w:rsidR="00EA3D77" w:rsidRPr="003F408E" w:rsidTr="003F408E">
        <w:trPr>
          <w:trHeight w:val="20"/>
        </w:trPr>
        <w:tc>
          <w:tcPr>
            <w:tcW w:w="1751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99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3F408E">
        <w:trPr>
          <w:trHeight w:val="20"/>
        </w:trPr>
        <w:tc>
          <w:tcPr>
            <w:tcW w:w="1751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1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78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3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3F408E">
        <w:trPr>
          <w:trHeight w:val="20"/>
        </w:trPr>
        <w:tc>
          <w:tcPr>
            <w:tcW w:w="1751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7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577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408E" w:rsidRPr="003F408E" w:rsidTr="003F408E">
        <w:trPr>
          <w:trHeight w:val="20"/>
        </w:trPr>
        <w:tc>
          <w:tcPr>
            <w:tcW w:w="1751" w:type="pct"/>
            <w:shd w:val="clear" w:color="auto" w:fill="auto"/>
            <w:hideMark/>
          </w:tcPr>
          <w:p w:rsidR="00C008FD" w:rsidRPr="003F408E" w:rsidRDefault="00C008FD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7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577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B477E" w:rsidRDefault="00FB477E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Pr="00BF6A8B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sectPr w:rsidR="00C008FD" w:rsidRPr="00BF6A8B" w:rsidSect="00C00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A18" w:rsidRPr="00EB01EC" w:rsidRDefault="00430A18" w:rsidP="00430A18">
      <w:pPr>
        <w:pStyle w:val="4"/>
        <w:jc w:val="both"/>
      </w:pPr>
      <w:bookmarkStart w:id="30" w:name="dst100070"/>
      <w:bookmarkStart w:id="31" w:name="dst100071"/>
      <w:bookmarkStart w:id="32" w:name="dst100072"/>
      <w:bookmarkEnd w:id="30"/>
      <w:bookmarkEnd w:id="31"/>
      <w:bookmarkEnd w:id="32"/>
      <w:r w:rsidRPr="00EB01EC"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61" w:type="pct"/>
        <w:tblLayout w:type="fixed"/>
        <w:tblLook w:val="04A0"/>
      </w:tblPr>
      <w:tblGrid>
        <w:gridCol w:w="1565"/>
        <w:gridCol w:w="3152"/>
        <w:gridCol w:w="2448"/>
        <w:gridCol w:w="2302"/>
        <w:gridCol w:w="1335"/>
        <w:gridCol w:w="868"/>
        <w:gridCol w:w="856"/>
        <w:gridCol w:w="1003"/>
        <w:gridCol w:w="1437"/>
      </w:tblGrid>
      <w:tr w:rsidR="00EA3D77" w:rsidRPr="00EA3D77" w:rsidTr="00981AB9">
        <w:trPr>
          <w:trHeight w:val="315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A3D77" w:rsidRPr="00EA3D77" w:rsidTr="00981AB9">
        <w:trPr>
          <w:trHeight w:val="43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юдж</w:t>
            </w:r>
            <w:r w:rsidR="00C841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убъекта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C841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 370 мест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)р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инфраструктуры, сбалансированное с градостроительной деятельностью в городском поселении Белоярский;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 велодорожек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велодорожек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212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ограждений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A3D77" w:rsidRPr="00EA3D77" w:rsidTr="00981AB9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АЗС-2 </w:t>
            </w:r>
            <w:proofErr w:type="spellStart"/>
            <w:proofErr w:type="gram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981AB9">
        <w:trPr>
          <w:trHeight w:val="439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 1микрорайона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981AB9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2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981AB9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3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981AB9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4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981AB9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5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4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подъезд к п.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Верхнеказымскому</w:t>
            </w:r>
            <w:proofErr w:type="spellEnd"/>
          </w:p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81AB9" w:rsidRPr="00EA3D77" w:rsidTr="0043629D">
        <w:trPr>
          <w:trHeight w:val="322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B9" w:rsidRPr="00EA3D77" w:rsidRDefault="00981AB9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подъезд к ВПП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AB9" w:rsidRPr="00EA3D77" w:rsidRDefault="00981AB9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4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1 микрорайона</w:t>
            </w:r>
          </w:p>
          <w:p w:rsidR="00D22783" w:rsidRPr="00EA3D77" w:rsidRDefault="00D2278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2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3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465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4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303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дорога 5 микрорайона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57EF2" w:rsidRPr="00EA3D77" w:rsidTr="0043629D">
        <w:trPr>
          <w:trHeight w:val="189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Югорск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Советский - Верхний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Казым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Надым (до границы ХМАО) на участке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Андра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Верхний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Казым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Надым (до границы ХМАО), участок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434 - км 528. Участок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475 (Сосновка) - км 489 (от поворота на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Сорум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5 960 000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1554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автомобильной дороги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Югорск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г. Советский - п. Верхнеказымский, участок км 475 (п. Сосновка) - граница Ханты-Мансийского автономного округа - Югры (ПИР)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22 600 000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КСОДД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светофоров Т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школы-1шт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систем контроля скорости движения, систем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57EF2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3D7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2" w:rsidRPr="00EA3D77" w:rsidRDefault="00C57EF2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42B3" w:rsidRPr="00EA3D77" w:rsidTr="0043629D">
        <w:trPr>
          <w:trHeight w:val="3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условия для пешеходного и велосипедного передвижения населения;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мероприятия по внедрению интеллектуальных транспортных систем;</w:t>
            </w:r>
          </w:p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Установка датчика на остановочном пункте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6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242B3" w:rsidRPr="00EA3D77" w:rsidTr="00B41E88">
        <w:trPr>
          <w:trHeight w:val="3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42B3" w:rsidRPr="00EA3D77" w:rsidTr="00B41E88">
        <w:trPr>
          <w:trHeight w:val="300"/>
        </w:trPr>
        <w:tc>
          <w:tcPr>
            <w:tcW w:w="5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)э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8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 мероприятия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4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42B3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к) мероприятия по мониторингу и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242B3" w:rsidRPr="00EA3D77" w:rsidTr="0043629D">
        <w:trPr>
          <w:trHeight w:val="66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й инфраструктуры поселения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242B3" w:rsidRPr="00EA3D77" w:rsidTr="0043629D">
        <w:trPr>
          <w:trHeight w:val="30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3" w:rsidRPr="00EA3D77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C57EF2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B3" w:rsidRPr="00C57EF2" w:rsidRDefault="006242B3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28 560 000 </w:t>
            </w:r>
          </w:p>
        </w:tc>
      </w:tr>
    </w:tbl>
    <w:p w:rsidR="00511BA9" w:rsidRDefault="00511BA9" w:rsidP="00EA3D77">
      <w:bookmarkStart w:id="33" w:name="dst100073"/>
      <w:bookmarkEnd w:id="33"/>
    </w:p>
    <w:p w:rsidR="00C57EF2" w:rsidRDefault="00C57EF2" w:rsidP="00EA3D77">
      <w:r>
        <w:br w:type="page"/>
      </w:r>
    </w:p>
    <w:p w:rsidR="00093AC6" w:rsidRDefault="00EA3D77" w:rsidP="00C57EF2">
      <w:pPr>
        <w:pStyle w:val="4"/>
        <w:jc w:val="both"/>
      </w:pPr>
      <w:r>
        <w:lastRenderedPageBreak/>
        <w:t>6.</w:t>
      </w:r>
      <w:r w:rsidR="00430A18" w:rsidRPr="007E177B"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00" w:type="pct"/>
        <w:tblLayout w:type="fixed"/>
        <w:tblLook w:val="04A0"/>
      </w:tblPr>
      <w:tblGrid>
        <w:gridCol w:w="1322"/>
        <w:gridCol w:w="1384"/>
        <w:gridCol w:w="1278"/>
        <w:gridCol w:w="1414"/>
        <w:gridCol w:w="1221"/>
        <w:gridCol w:w="1150"/>
        <w:gridCol w:w="1153"/>
        <w:gridCol w:w="1295"/>
        <w:gridCol w:w="1295"/>
        <w:gridCol w:w="1582"/>
        <w:gridCol w:w="1692"/>
      </w:tblGrid>
      <w:tr w:rsidR="00F41D31" w:rsidRPr="00EA3D77" w:rsidTr="00511BA9">
        <w:trPr>
          <w:trHeight w:val="18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F41D31" w:rsidRDefault="00EA3D77" w:rsidP="0051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F41D31" w:rsidRPr="00EA3D77" w:rsidTr="00511BA9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деятельности)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транспортной инфраструктуры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иационный транспорт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вертолетных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остановочных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инфраструктуры, сбалансированное с гр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адостроительной деятельностью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Велосипедное движение, число пунктов хранения мест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41D31" w:rsidRPr="00EA3D77" w:rsidTr="00511BA9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D31" w:rsidRPr="00EA3D77" w:rsidTr="00511BA9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атам хозяйственной деятельности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Прогноз развития улично-дорожной сети,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85,254</w:t>
            </w: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движения транспортных средств общего пользования по отношению к иным 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анспортным средствам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 дорог и (или) их участков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зарегистрированных ДТ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П(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целом по району)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41D31" w:rsidRPr="00EA3D77" w:rsidTr="00511BA9">
        <w:trPr>
          <w:trHeight w:val="94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ипедного передвижения населения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ероприятия по внедрению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лектуальных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транспортных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внедренных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ИТС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11BA9" w:rsidRPr="00EA3D77" w:rsidTr="00511BA9">
        <w:trPr>
          <w:trHeight w:val="189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A9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A9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A9" w:rsidRPr="00EA3D77" w:rsidRDefault="00511BA9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1D31" w:rsidRPr="00EA3D77" w:rsidTr="00511BA9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ероприятия по мониторингу и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77" w:rsidRPr="00EA3D77" w:rsidRDefault="00EA3D77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1BA9" w:rsidTr="00C63019">
        <w:tblPrEx>
          <w:tblBorders>
            <w:top w:val="single" w:sz="4" w:space="0" w:color="auto"/>
          </w:tblBorders>
          <w:tblLook w:val="0000"/>
        </w:tblPrEx>
        <w:trPr>
          <w:gridAfter w:val="10"/>
          <w:wAfter w:w="4553" w:type="pct"/>
          <w:trHeight w:val="562"/>
        </w:trPr>
        <w:tc>
          <w:tcPr>
            <w:tcW w:w="447" w:type="pct"/>
            <w:tcBorders>
              <w:bottom w:val="nil"/>
            </w:tcBorders>
          </w:tcPr>
          <w:p w:rsidR="00511BA9" w:rsidRDefault="00511BA9" w:rsidP="00511BA9">
            <w:pPr>
              <w:pStyle w:val="4"/>
              <w:jc w:val="both"/>
              <w:rPr>
                <w:highlight w:val="green"/>
              </w:rPr>
            </w:pPr>
          </w:p>
        </w:tc>
      </w:tr>
    </w:tbl>
    <w:p w:rsidR="003978DD" w:rsidRPr="00BF6A8B" w:rsidRDefault="003978DD" w:rsidP="00FD61EB">
      <w:pPr>
        <w:pStyle w:val="4"/>
        <w:jc w:val="both"/>
        <w:rPr>
          <w:highlight w:val="green"/>
        </w:rPr>
      </w:pPr>
    </w:p>
    <w:p w:rsidR="003978DD" w:rsidRDefault="003978DD" w:rsidP="00FD61EB">
      <w:pPr>
        <w:pStyle w:val="4"/>
        <w:jc w:val="both"/>
        <w:sectPr w:rsidR="003978DD" w:rsidSect="007861F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30A18" w:rsidRPr="00430A18" w:rsidRDefault="00430A18" w:rsidP="00430A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dst100074"/>
      <w:bookmarkEnd w:id="34"/>
      <w:r w:rsidRPr="00430A18">
        <w:rPr>
          <w:rStyle w:val="40"/>
          <w:rFonts w:eastAsiaTheme="minorHAnsi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A18">
        <w:rPr>
          <w:rStyle w:val="40"/>
          <w:rFonts w:eastAsiaTheme="minorHAnsi"/>
        </w:rPr>
        <w:t>программы мероприятий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B92" w:rsidRDefault="00845B92" w:rsidP="00845B9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5F2" w:rsidRPr="00845B92" w:rsidRDefault="00D575F2" w:rsidP="00C042C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3C7F0B" w:rsidRDefault="00D575F2" w:rsidP="00C04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3C7F0B" w:rsidRDefault="00D575F2" w:rsidP="00EA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0B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3C7F0B"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proofErr w:type="gramStart"/>
      <w:r w:rsidRPr="00B31461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>инфраструктуры поселения, городского округа, которые предусмотрены государственными и муниципальными программами, стратегией социально-</w:t>
      </w:r>
      <w:r w:rsidRPr="00B31461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</w:t>
      </w:r>
      <w:proofErr w:type="gramStart"/>
      <w:r w:rsidRPr="00B3146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5" w:name="88322"/>
      <w:bookmarkEnd w:id="35"/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6" w:name="3f867"/>
      <w:bookmarkEnd w:id="36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 ХМАО – Югра,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37" w:name="d56ee"/>
      <w:bookmarkEnd w:id="37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ХМАО - Югра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F07E51" w:rsidRPr="00B31461">
        <w:rPr>
          <w:rFonts w:ascii="Times New Roman" w:hAnsi="Times New Roman" w:cs="Times New Roman"/>
          <w:sz w:val="24"/>
          <w:szCs w:val="24"/>
        </w:rPr>
        <w:t>Б</w:t>
      </w:r>
      <w:r w:rsidR="00D575F2" w:rsidRPr="00B31461">
        <w:rPr>
          <w:rFonts w:ascii="Times New Roman" w:hAnsi="Times New Roman" w:cs="Times New Roman"/>
          <w:sz w:val="24"/>
          <w:szCs w:val="24"/>
        </w:rPr>
        <w:t>елоярского муниципального района, в состав мобилизационного плана экономики округа.</w:t>
      </w: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F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B3" w:rsidRDefault="006242B3" w:rsidP="00D97595">
      <w:pPr>
        <w:spacing w:after="0" w:line="240" w:lineRule="auto"/>
      </w:pPr>
      <w:r>
        <w:separator/>
      </w:r>
    </w:p>
  </w:endnote>
  <w:endnote w:type="continuationSeparator" w:id="0">
    <w:p w:rsidR="006242B3" w:rsidRDefault="006242B3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2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42B3" w:rsidRPr="001A49F9" w:rsidRDefault="006242B3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B41E88">
          <w:rPr>
            <w:noProof/>
            <w:sz w:val="16"/>
            <w:szCs w:val="16"/>
          </w:rPr>
          <w:t>19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B3" w:rsidRDefault="006242B3" w:rsidP="00D97595">
      <w:pPr>
        <w:spacing w:after="0" w:line="240" w:lineRule="auto"/>
      </w:pPr>
      <w:r>
        <w:separator/>
      </w:r>
    </w:p>
  </w:footnote>
  <w:footnote w:type="continuationSeparator" w:id="0">
    <w:p w:rsidR="006242B3" w:rsidRDefault="006242B3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71"/>
    <w:rsid w:val="00000020"/>
    <w:rsid w:val="00013D60"/>
    <w:rsid w:val="00015870"/>
    <w:rsid w:val="00017F57"/>
    <w:rsid w:val="000353C9"/>
    <w:rsid w:val="00036973"/>
    <w:rsid w:val="000450B1"/>
    <w:rsid w:val="00075298"/>
    <w:rsid w:val="0008256A"/>
    <w:rsid w:val="00093AC6"/>
    <w:rsid w:val="000A79EA"/>
    <w:rsid w:val="000B204C"/>
    <w:rsid w:val="000B353B"/>
    <w:rsid w:val="000B685A"/>
    <w:rsid w:val="000B7990"/>
    <w:rsid w:val="000D4AD3"/>
    <w:rsid w:val="000D7207"/>
    <w:rsid w:val="000E13F3"/>
    <w:rsid w:val="000F14EB"/>
    <w:rsid w:val="000F3297"/>
    <w:rsid w:val="000F5F24"/>
    <w:rsid w:val="00127647"/>
    <w:rsid w:val="0013002B"/>
    <w:rsid w:val="00142C15"/>
    <w:rsid w:val="00151E54"/>
    <w:rsid w:val="00153C61"/>
    <w:rsid w:val="001553CA"/>
    <w:rsid w:val="00156226"/>
    <w:rsid w:val="00156580"/>
    <w:rsid w:val="00157720"/>
    <w:rsid w:val="00171676"/>
    <w:rsid w:val="00183429"/>
    <w:rsid w:val="00184C98"/>
    <w:rsid w:val="00187661"/>
    <w:rsid w:val="00187B7A"/>
    <w:rsid w:val="0019344D"/>
    <w:rsid w:val="0019476B"/>
    <w:rsid w:val="00195F44"/>
    <w:rsid w:val="00197737"/>
    <w:rsid w:val="001A49F9"/>
    <w:rsid w:val="001A59CE"/>
    <w:rsid w:val="001B7291"/>
    <w:rsid w:val="001C23F3"/>
    <w:rsid w:val="001D13BF"/>
    <w:rsid w:val="001D1A19"/>
    <w:rsid w:val="001D64EE"/>
    <w:rsid w:val="001E1EAB"/>
    <w:rsid w:val="001E3471"/>
    <w:rsid w:val="001E6700"/>
    <w:rsid w:val="001E68A8"/>
    <w:rsid w:val="001E69E4"/>
    <w:rsid w:val="00202C39"/>
    <w:rsid w:val="00207264"/>
    <w:rsid w:val="00207EFB"/>
    <w:rsid w:val="002106DF"/>
    <w:rsid w:val="00211DB6"/>
    <w:rsid w:val="002242A7"/>
    <w:rsid w:val="00225ED4"/>
    <w:rsid w:val="00226025"/>
    <w:rsid w:val="0023277A"/>
    <w:rsid w:val="002331B5"/>
    <w:rsid w:val="00254D9B"/>
    <w:rsid w:val="002576B9"/>
    <w:rsid w:val="002577B4"/>
    <w:rsid w:val="0026487D"/>
    <w:rsid w:val="00270812"/>
    <w:rsid w:val="00271B7F"/>
    <w:rsid w:val="00280ACA"/>
    <w:rsid w:val="00281E10"/>
    <w:rsid w:val="00285C2F"/>
    <w:rsid w:val="0028710C"/>
    <w:rsid w:val="002901C9"/>
    <w:rsid w:val="00295040"/>
    <w:rsid w:val="002A437B"/>
    <w:rsid w:val="002C1EAD"/>
    <w:rsid w:val="002C5DE4"/>
    <w:rsid w:val="002C7D55"/>
    <w:rsid w:val="002D00F7"/>
    <w:rsid w:val="002D3E64"/>
    <w:rsid w:val="002D3FEA"/>
    <w:rsid w:val="002E7D5E"/>
    <w:rsid w:val="002F07CC"/>
    <w:rsid w:val="00302226"/>
    <w:rsid w:val="00307C1B"/>
    <w:rsid w:val="00315790"/>
    <w:rsid w:val="003159A7"/>
    <w:rsid w:val="003429DB"/>
    <w:rsid w:val="00351072"/>
    <w:rsid w:val="00353A85"/>
    <w:rsid w:val="00356DEE"/>
    <w:rsid w:val="00357CB3"/>
    <w:rsid w:val="00360001"/>
    <w:rsid w:val="00361384"/>
    <w:rsid w:val="00362474"/>
    <w:rsid w:val="00363FBF"/>
    <w:rsid w:val="00375D21"/>
    <w:rsid w:val="00376A41"/>
    <w:rsid w:val="00376CB0"/>
    <w:rsid w:val="00376DE2"/>
    <w:rsid w:val="0038177A"/>
    <w:rsid w:val="003978DD"/>
    <w:rsid w:val="003C39C5"/>
    <w:rsid w:val="003D527E"/>
    <w:rsid w:val="003D62C5"/>
    <w:rsid w:val="003D6F4D"/>
    <w:rsid w:val="003D74A5"/>
    <w:rsid w:val="003E5B97"/>
    <w:rsid w:val="003F2D5F"/>
    <w:rsid w:val="003F408E"/>
    <w:rsid w:val="003F4421"/>
    <w:rsid w:val="003F60D5"/>
    <w:rsid w:val="004120FD"/>
    <w:rsid w:val="004127B7"/>
    <w:rsid w:val="004174D6"/>
    <w:rsid w:val="00426972"/>
    <w:rsid w:val="00430A18"/>
    <w:rsid w:val="00434F40"/>
    <w:rsid w:val="00435355"/>
    <w:rsid w:val="0043629D"/>
    <w:rsid w:val="0043662C"/>
    <w:rsid w:val="004373F8"/>
    <w:rsid w:val="0045054B"/>
    <w:rsid w:val="004519E2"/>
    <w:rsid w:val="004549BE"/>
    <w:rsid w:val="004744E5"/>
    <w:rsid w:val="00476842"/>
    <w:rsid w:val="00491A16"/>
    <w:rsid w:val="004C07AC"/>
    <w:rsid w:val="004C53F1"/>
    <w:rsid w:val="004D7BCF"/>
    <w:rsid w:val="004E2466"/>
    <w:rsid w:val="004E34E8"/>
    <w:rsid w:val="004E4F85"/>
    <w:rsid w:val="004E6D87"/>
    <w:rsid w:val="004F08D7"/>
    <w:rsid w:val="004F0FAF"/>
    <w:rsid w:val="004F175B"/>
    <w:rsid w:val="00501D99"/>
    <w:rsid w:val="005035C8"/>
    <w:rsid w:val="00511BA9"/>
    <w:rsid w:val="00515F01"/>
    <w:rsid w:val="005319F4"/>
    <w:rsid w:val="00535016"/>
    <w:rsid w:val="005360EE"/>
    <w:rsid w:val="005510F2"/>
    <w:rsid w:val="00561862"/>
    <w:rsid w:val="00563BAF"/>
    <w:rsid w:val="00592824"/>
    <w:rsid w:val="005A5B20"/>
    <w:rsid w:val="005A74E1"/>
    <w:rsid w:val="005C2EF0"/>
    <w:rsid w:val="005C4264"/>
    <w:rsid w:val="005C4EC1"/>
    <w:rsid w:val="005C5CF3"/>
    <w:rsid w:val="005C6BE1"/>
    <w:rsid w:val="005D17DC"/>
    <w:rsid w:val="005D246D"/>
    <w:rsid w:val="005E186E"/>
    <w:rsid w:val="005E497E"/>
    <w:rsid w:val="005E4E7D"/>
    <w:rsid w:val="005E5453"/>
    <w:rsid w:val="005F0E8D"/>
    <w:rsid w:val="005F759E"/>
    <w:rsid w:val="00600546"/>
    <w:rsid w:val="00613E4C"/>
    <w:rsid w:val="00622228"/>
    <w:rsid w:val="00623A69"/>
    <w:rsid w:val="006242B3"/>
    <w:rsid w:val="00625CF2"/>
    <w:rsid w:val="0063129A"/>
    <w:rsid w:val="00633664"/>
    <w:rsid w:val="006436DC"/>
    <w:rsid w:val="0066490B"/>
    <w:rsid w:val="00665735"/>
    <w:rsid w:val="006721C8"/>
    <w:rsid w:val="006758A6"/>
    <w:rsid w:val="00684026"/>
    <w:rsid w:val="00684553"/>
    <w:rsid w:val="006904FA"/>
    <w:rsid w:val="00690AED"/>
    <w:rsid w:val="006B298C"/>
    <w:rsid w:val="006D7E7F"/>
    <w:rsid w:val="006E0AD7"/>
    <w:rsid w:val="006E37A9"/>
    <w:rsid w:val="006E718E"/>
    <w:rsid w:val="00711604"/>
    <w:rsid w:val="007159D5"/>
    <w:rsid w:val="00717745"/>
    <w:rsid w:val="00721084"/>
    <w:rsid w:val="0072400E"/>
    <w:rsid w:val="00724E21"/>
    <w:rsid w:val="00725DD5"/>
    <w:rsid w:val="00734A99"/>
    <w:rsid w:val="00735108"/>
    <w:rsid w:val="00735ABC"/>
    <w:rsid w:val="0074405D"/>
    <w:rsid w:val="00745CDB"/>
    <w:rsid w:val="00746B82"/>
    <w:rsid w:val="00753D85"/>
    <w:rsid w:val="0075493E"/>
    <w:rsid w:val="00755B9B"/>
    <w:rsid w:val="00761995"/>
    <w:rsid w:val="00764B2B"/>
    <w:rsid w:val="00773579"/>
    <w:rsid w:val="00777CB2"/>
    <w:rsid w:val="007861FD"/>
    <w:rsid w:val="00787BE8"/>
    <w:rsid w:val="00795194"/>
    <w:rsid w:val="007B02E0"/>
    <w:rsid w:val="007B235A"/>
    <w:rsid w:val="007C0DC2"/>
    <w:rsid w:val="007C18FA"/>
    <w:rsid w:val="007C2015"/>
    <w:rsid w:val="007D0EF7"/>
    <w:rsid w:val="007D2BEF"/>
    <w:rsid w:val="007E177B"/>
    <w:rsid w:val="007E1FA1"/>
    <w:rsid w:val="007F2049"/>
    <w:rsid w:val="007F67B5"/>
    <w:rsid w:val="0080273D"/>
    <w:rsid w:val="00820FC3"/>
    <w:rsid w:val="00821B5C"/>
    <w:rsid w:val="00827DB4"/>
    <w:rsid w:val="00845B92"/>
    <w:rsid w:val="008479D6"/>
    <w:rsid w:val="00851028"/>
    <w:rsid w:val="00851FD0"/>
    <w:rsid w:val="008538A9"/>
    <w:rsid w:val="00862E3E"/>
    <w:rsid w:val="00867265"/>
    <w:rsid w:val="008749D7"/>
    <w:rsid w:val="00877CB3"/>
    <w:rsid w:val="0088226A"/>
    <w:rsid w:val="00883C30"/>
    <w:rsid w:val="008840D8"/>
    <w:rsid w:val="008A0AC5"/>
    <w:rsid w:val="008A6288"/>
    <w:rsid w:val="008C3F35"/>
    <w:rsid w:val="008C5445"/>
    <w:rsid w:val="008D525D"/>
    <w:rsid w:val="008E6D31"/>
    <w:rsid w:val="008F43C2"/>
    <w:rsid w:val="009020BB"/>
    <w:rsid w:val="00902E66"/>
    <w:rsid w:val="00903127"/>
    <w:rsid w:val="009054F2"/>
    <w:rsid w:val="00911464"/>
    <w:rsid w:val="00912730"/>
    <w:rsid w:val="00921A41"/>
    <w:rsid w:val="009228F0"/>
    <w:rsid w:val="009257E1"/>
    <w:rsid w:val="00947D9B"/>
    <w:rsid w:val="00956D81"/>
    <w:rsid w:val="009572FA"/>
    <w:rsid w:val="00981AB9"/>
    <w:rsid w:val="00983E00"/>
    <w:rsid w:val="00985535"/>
    <w:rsid w:val="00987FF8"/>
    <w:rsid w:val="00992DF4"/>
    <w:rsid w:val="00993AA2"/>
    <w:rsid w:val="009A3587"/>
    <w:rsid w:val="009A4218"/>
    <w:rsid w:val="009B1BCA"/>
    <w:rsid w:val="009B7419"/>
    <w:rsid w:val="009E01EA"/>
    <w:rsid w:val="009F021B"/>
    <w:rsid w:val="009F12BE"/>
    <w:rsid w:val="009F2028"/>
    <w:rsid w:val="00A05372"/>
    <w:rsid w:val="00A12FE0"/>
    <w:rsid w:val="00A147C8"/>
    <w:rsid w:val="00A1529C"/>
    <w:rsid w:val="00A243BD"/>
    <w:rsid w:val="00A26C03"/>
    <w:rsid w:val="00A2716F"/>
    <w:rsid w:val="00A476C5"/>
    <w:rsid w:val="00A606E1"/>
    <w:rsid w:val="00A63B46"/>
    <w:rsid w:val="00A70643"/>
    <w:rsid w:val="00A77931"/>
    <w:rsid w:val="00A80337"/>
    <w:rsid w:val="00A83B96"/>
    <w:rsid w:val="00A847BF"/>
    <w:rsid w:val="00A8651F"/>
    <w:rsid w:val="00A90168"/>
    <w:rsid w:val="00AA1539"/>
    <w:rsid w:val="00AA781D"/>
    <w:rsid w:val="00AB3072"/>
    <w:rsid w:val="00AC3850"/>
    <w:rsid w:val="00AD1EDE"/>
    <w:rsid w:val="00AD441D"/>
    <w:rsid w:val="00AD6171"/>
    <w:rsid w:val="00AE1578"/>
    <w:rsid w:val="00AE1973"/>
    <w:rsid w:val="00AE47E3"/>
    <w:rsid w:val="00AE7DAE"/>
    <w:rsid w:val="00AF5164"/>
    <w:rsid w:val="00B039E8"/>
    <w:rsid w:val="00B044AA"/>
    <w:rsid w:val="00B04ABF"/>
    <w:rsid w:val="00B12346"/>
    <w:rsid w:val="00B24BE5"/>
    <w:rsid w:val="00B31461"/>
    <w:rsid w:val="00B332E3"/>
    <w:rsid w:val="00B36776"/>
    <w:rsid w:val="00B373B7"/>
    <w:rsid w:val="00B41E88"/>
    <w:rsid w:val="00B5058C"/>
    <w:rsid w:val="00B52E93"/>
    <w:rsid w:val="00B711B5"/>
    <w:rsid w:val="00B7672B"/>
    <w:rsid w:val="00BB1AB1"/>
    <w:rsid w:val="00BB2664"/>
    <w:rsid w:val="00BB4274"/>
    <w:rsid w:val="00BC1C11"/>
    <w:rsid w:val="00BC5722"/>
    <w:rsid w:val="00BD3AC6"/>
    <w:rsid w:val="00BD4295"/>
    <w:rsid w:val="00BD5808"/>
    <w:rsid w:val="00BE0690"/>
    <w:rsid w:val="00BE13F9"/>
    <w:rsid w:val="00BE5AE1"/>
    <w:rsid w:val="00BF0E73"/>
    <w:rsid w:val="00BF4313"/>
    <w:rsid w:val="00BF6A8B"/>
    <w:rsid w:val="00C008FD"/>
    <w:rsid w:val="00C03EC8"/>
    <w:rsid w:val="00C042CE"/>
    <w:rsid w:val="00C26FED"/>
    <w:rsid w:val="00C31423"/>
    <w:rsid w:val="00C42C1C"/>
    <w:rsid w:val="00C57EF2"/>
    <w:rsid w:val="00C62D02"/>
    <w:rsid w:val="00C63019"/>
    <w:rsid w:val="00C841E3"/>
    <w:rsid w:val="00C90E1F"/>
    <w:rsid w:val="00C96081"/>
    <w:rsid w:val="00CA2249"/>
    <w:rsid w:val="00CB4CD0"/>
    <w:rsid w:val="00CD1E2F"/>
    <w:rsid w:val="00CD303B"/>
    <w:rsid w:val="00CD3E1D"/>
    <w:rsid w:val="00CD758F"/>
    <w:rsid w:val="00CE490E"/>
    <w:rsid w:val="00CE4D25"/>
    <w:rsid w:val="00CF04A0"/>
    <w:rsid w:val="00CF7AD4"/>
    <w:rsid w:val="00D10366"/>
    <w:rsid w:val="00D15866"/>
    <w:rsid w:val="00D20B77"/>
    <w:rsid w:val="00D22783"/>
    <w:rsid w:val="00D31A29"/>
    <w:rsid w:val="00D328BD"/>
    <w:rsid w:val="00D367CE"/>
    <w:rsid w:val="00D459A2"/>
    <w:rsid w:val="00D5352D"/>
    <w:rsid w:val="00D575F2"/>
    <w:rsid w:val="00D57E7A"/>
    <w:rsid w:val="00D70CA5"/>
    <w:rsid w:val="00D73555"/>
    <w:rsid w:val="00D73F7E"/>
    <w:rsid w:val="00D74426"/>
    <w:rsid w:val="00D75B99"/>
    <w:rsid w:val="00D91746"/>
    <w:rsid w:val="00D97595"/>
    <w:rsid w:val="00DA0799"/>
    <w:rsid w:val="00DA6657"/>
    <w:rsid w:val="00DC3D05"/>
    <w:rsid w:val="00DD0F41"/>
    <w:rsid w:val="00DD75B4"/>
    <w:rsid w:val="00DE28BB"/>
    <w:rsid w:val="00DF409C"/>
    <w:rsid w:val="00DF6BD4"/>
    <w:rsid w:val="00DF73B7"/>
    <w:rsid w:val="00DF7F24"/>
    <w:rsid w:val="00E01691"/>
    <w:rsid w:val="00E027FA"/>
    <w:rsid w:val="00E07DDD"/>
    <w:rsid w:val="00E13D43"/>
    <w:rsid w:val="00E15294"/>
    <w:rsid w:val="00E26629"/>
    <w:rsid w:val="00E31F7F"/>
    <w:rsid w:val="00E410B3"/>
    <w:rsid w:val="00E44600"/>
    <w:rsid w:val="00E46305"/>
    <w:rsid w:val="00E62993"/>
    <w:rsid w:val="00E62AD7"/>
    <w:rsid w:val="00E63A20"/>
    <w:rsid w:val="00E66B89"/>
    <w:rsid w:val="00E87C85"/>
    <w:rsid w:val="00E95C8D"/>
    <w:rsid w:val="00EA3D77"/>
    <w:rsid w:val="00EB01EC"/>
    <w:rsid w:val="00EB3E6C"/>
    <w:rsid w:val="00EB708D"/>
    <w:rsid w:val="00EB7E62"/>
    <w:rsid w:val="00EC0549"/>
    <w:rsid w:val="00EE2C09"/>
    <w:rsid w:val="00EE3517"/>
    <w:rsid w:val="00EF5882"/>
    <w:rsid w:val="00F0144E"/>
    <w:rsid w:val="00F06AF6"/>
    <w:rsid w:val="00F07E51"/>
    <w:rsid w:val="00F211FD"/>
    <w:rsid w:val="00F218BE"/>
    <w:rsid w:val="00F25700"/>
    <w:rsid w:val="00F301C4"/>
    <w:rsid w:val="00F3165A"/>
    <w:rsid w:val="00F31C49"/>
    <w:rsid w:val="00F41D31"/>
    <w:rsid w:val="00F458A0"/>
    <w:rsid w:val="00F50FB1"/>
    <w:rsid w:val="00F5230F"/>
    <w:rsid w:val="00F54B97"/>
    <w:rsid w:val="00F54E80"/>
    <w:rsid w:val="00F6084F"/>
    <w:rsid w:val="00F80617"/>
    <w:rsid w:val="00F846F3"/>
    <w:rsid w:val="00F866D6"/>
    <w:rsid w:val="00FB477E"/>
    <w:rsid w:val="00FC083A"/>
    <w:rsid w:val="00FC4BCD"/>
    <w:rsid w:val="00FC5B37"/>
    <w:rsid w:val="00FD61EB"/>
    <w:rsid w:val="00FE7D2B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B99A306EF5A3E3E35376B95DDF32879751FB02AEE081051E41004F9B4111DCA0F5C39236F9E9A2B0B9E68QDI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el.ru/about/soeco/index.php?ELEMENT_ID=59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D4FF-9934-4627-9A58-1AE9902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2016-04-19T12:38:00Z</cp:lastPrinted>
  <dcterms:created xsi:type="dcterms:W3CDTF">2016-04-18T11:40:00Z</dcterms:created>
  <dcterms:modified xsi:type="dcterms:W3CDTF">2016-04-20T11:34:00Z</dcterms:modified>
</cp:coreProperties>
</file>